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B8F" w:rsidRPr="002E4FD1" w:rsidRDefault="005B3B8F" w:rsidP="002E4FD1">
      <w:pPr>
        <w:spacing w:before="100" w:beforeAutospacing="1" w:after="0" w:line="240" w:lineRule="auto"/>
        <w:jc w:val="center"/>
        <w:rPr>
          <w:rFonts w:eastAsia="Times New Roman" w:cs="Arial"/>
          <w:sz w:val="40"/>
          <w:szCs w:val="40"/>
        </w:rPr>
      </w:pPr>
      <w:bookmarkStart w:id="0" w:name="_GoBack"/>
      <w:bookmarkEnd w:id="0"/>
      <w:r w:rsidRPr="002E4FD1">
        <w:rPr>
          <w:rFonts w:eastAsia="Times New Roman" w:cs="Arial"/>
          <w:sz w:val="40"/>
          <w:szCs w:val="40"/>
        </w:rPr>
        <w:t>Financial Responsibilities and Resources</w:t>
      </w:r>
    </w:p>
    <w:p w:rsidR="005B3B8F" w:rsidRDefault="005B3B8F" w:rsidP="005B3B8F">
      <w:pPr>
        <w:spacing w:after="0" w:line="240" w:lineRule="auto"/>
        <w:rPr>
          <w:rFonts w:eastAsia="Times New Roman" w:cs="Arial"/>
        </w:rPr>
      </w:pPr>
    </w:p>
    <w:p w:rsidR="005B3B8F" w:rsidRDefault="005B3B8F" w:rsidP="005B3B8F">
      <w:pPr>
        <w:pStyle w:val="ListParagraph"/>
        <w:numPr>
          <w:ilvl w:val="0"/>
          <w:numId w:val="2"/>
        </w:numPr>
        <w:spacing w:after="0" w:line="240" w:lineRule="auto"/>
        <w:rPr>
          <w:rFonts w:eastAsia="Times New Roman" w:cs="Arial"/>
        </w:rPr>
      </w:pPr>
      <w:r>
        <w:rPr>
          <w:rFonts w:eastAsia="Times New Roman" w:cs="Arial"/>
        </w:rPr>
        <w:t>Overall accountability</w:t>
      </w:r>
    </w:p>
    <w:p w:rsidR="00681C5D" w:rsidRDefault="00681C5D" w:rsidP="00681C5D">
      <w:pPr>
        <w:pStyle w:val="ListParagraph"/>
        <w:spacing w:after="0" w:line="240" w:lineRule="auto"/>
        <w:rPr>
          <w:rFonts w:eastAsia="Times New Roman" w:cs="Arial"/>
        </w:rPr>
      </w:pPr>
      <w:r>
        <w:rPr>
          <w:rFonts w:eastAsia="Times New Roman" w:cs="Arial"/>
        </w:rPr>
        <w:t xml:space="preserve">Student organizations must hold members and officers accountable for the financial solvency of the organization.  It should be the goal of the organization to meet its debts or financial obligations with some cash to spare.  </w:t>
      </w:r>
    </w:p>
    <w:p w:rsidR="00681C5D" w:rsidRDefault="00681C5D" w:rsidP="00681C5D">
      <w:pPr>
        <w:pStyle w:val="ListParagraph"/>
        <w:numPr>
          <w:ilvl w:val="1"/>
          <w:numId w:val="2"/>
        </w:numPr>
        <w:spacing w:after="0" w:line="240" w:lineRule="auto"/>
        <w:rPr>
          <w:rFonts w:eastAsia="Times New Roman" w:cs="Arial"/>
        </w:rPr>
      </w:pPr>
      <w:r>
        <w:rPr>
          <w:rFonts w:eastAsia="Times New Roman" w:cs="Arial"/>
        </w:rPr>
        <w:t>Student organizations must ensure that organization expenditures are used for organizational expenses and not fo</w:t>
      </w:r>
      <w:r w:rsidR="00D362AF">
        <w:rPr>
          <w:rFonts w:eastAsia="Times New Roman" w:cs="Arial"/>
        </w:rPr>
        <w:t>r the benefit of the individual member(s).</w:t>
      </w:r>
    </w:p>
    <w:p w:rsidR="00681C5D" w:rsidRDefault="00681C5D" w:rsidP="00681C5D">
      <w:pPr>
        <w:pStyle w:val="ListParagraph"/>
        <w:numPr>
          <w:ilvl w:val="1"/>
          <w:numId w:val="2"/>
        </w:numPr>
        <w:spacing w:after="0" w:line="240" w:lineRule="auto"/>
        <w:rPr>
          <w:rFonts w:eastAsia="Times New Roman" w:cs="Arial"/>
        </w:rPr>
      </w:pPr>
      <w:r>
        <w:rPr>
          <w:rFonts w:eastAsia="Times New Roman" w:cs="Arial"/>
        </w:rPr>
        <w:t>Student organizations should maintain receipts/documentation of expenses for record-keeping and transparency.</w:t>
      </w:r>
    </w:p>
    <w:p w:rsidR="00681C5D" w:rsidRDefault="00681C5D" w:rsidP="00681C5D">
      <w:pPr>
        <w:pStyle w:val="ListParagraph"/>
        <w:numPr>
          <w:ilvl w:val="1"/>
          <w:numId w:val="2"/>
        </w:numPr>
        <w:spacing w:after="0" w:line="240" w:lineRule="auto"/>
        <w:rPr>
          <w:rFonts w:eastAsia="Times New Roman" w:cs="Arial"/>
        </w:rPr>
      </w:pPr>
      <w:r>
        <w:rPr>
          <w:rFonts w:eastAsia="Times New Roman" w:cs="Arial"/>
        </w:rPr>
        <w:t xml:space="preserve">Student organizations must comply with all administrative policies and procedures set forth by Campus Activities and Student Organizations (CASO) Office.  </w:t>
      </w:r>
    </w:p>
    <w:p w:rsidR="00681C5D" w:rsidRPr="00681C5D" w:rsidRDefault="00681C5D" w:rsidP="00681C5D">
      <w:pPr>
        <w:pStyle w:val="ListParagraph"/>
        <w:numPr>
          <w:ilvl w:val="1"/>
          <w:numId w:val="2"/>
        </w:numPr>
        <w:spacing w:after="0" w:line="240" w:lineRule="auto"/>
        <w:rPr>
          <w:rFonts w:eastAsia="Times New Roman" w:cs="Arial"/>
        </w:rPr>
      </w:pPr>
      <w:r>
        <w:rPr>
          <w:rFonts w:eastAsia="Times New Roman" w:cs="Arial"/>
        </w:rPr>
        <w:t>Student organizations officers responsible for the organization</w:t>
      </w:r>
      <w:r w:rsidR="00D362AF">
        <w:rPr>
          <w:rFonts w:eastAsia="Times New Roman" w:cs="Arial"/>
        </w:rPr>
        <w:t>’</w:t>
      </w:r>
      <w:r>
        <w:rPr>
          <w:rFonts w:eastAsia="Times New Roman" w:cs="Arial"/>
        </w:rPr>
        <w:t xml:space="preserve">s treasury should provide financial information </w:t>
      </w:r>
      <w:r w:rsidR="00D362AF">
        <w:rPr>
          <w:rFonts w:eastAsia="Times New Roman" w:cs="Arial"/>
        </w:rPr>
        <w:t>to</w:t>
      </w:r>
      <w:r>
        <w:rPr>
          <w:rFonts w:eastAsia="Times New Roman" w:cs="Arial"/>
        </w:rPr>
        <w:t xml:space="preserve"> organization members on a regular basis.</w:t>
      </w:r>
    </w:p>
    <w:p w:rsidR="00681C5D" w:rsidRDefault="00681C5D" w:rsidP="00681C5D">
      <w:pPr>
        <w:spacing w:after="0" w:line="240" w:lineRule="auto"/>
        <w:rPr>
          <w:rFonts w:eastAsia="Times New Roman" w:cs="Arial"/>
        </w:rPr>
      </w:pPr>
    </w:p>
    <w:p w:rsidR="005B3B8F" w:rsidRDefault="005B3B8F" w:rsidP="005B3B8F">
      <w:pPr>
        <w:pStyle w:val="ListParagraph"/>
        <w:numPr>
          <w:ilvl w:val="0"/>
          <w:numId w:val="2"/>
        </w:numPr>
        <w:spacing w:after="0" w:line="240" w:lineRule="auto"/>
        <w:rPr>
          <w:rFonts w:eastAsia="Times New Roman" w:cs="Arial"/>
        </w:rPr>
      </w:pPr>
      <w:r>
        <w:rPr>
          <w:rFonts w:eastAsia="Times New Roman" w:cs="Arial"/>
        </w:rPr>
        <w:t>Developing a Budget</w:t>
      </w:r>
    </w:p>
    <w:p w:rsidR="00E7498D" w:rsidRDefault="00E7498D" w:rsidP="00E7498D">
      <w:pPr>
        <w:spacing w:after="0" w:line="240" w:lineRule="auto"/>
        <w:ind w:left="720"/>
        <w:rPr>
          <w:rFonts w:eastAsia="Times New Roman" w:cs="Arial"/>
        </w:rPr>
      </w:pPr>
      <w:r>
        <w:rPr>
          <w:rFonts w:eastAsia="Times New Roman" w:cs="Arial"/>
        </w:rPr>
        <w:t xml:space="preserve">Student organizations should organize and plan their financial resources accordingly by using the following purposes as guidelines:  </w:t>
      </w:r>
    </w:p>
    <w:p w:rsidR="00E7498D" w:rsidRDefault="00E7498D" w:rsidP="00E7498D">
      <w:pPr>
        <w:pStyle w:val="ListParagraph"/>
        <w:numPr>
          <w:ilvl w:val="1"/>
          <w:numId w:val="2"/>
        </w:numPr>
        <w:spacing w:after="0" w:line="240" w:lineRule="auto"/>
        <w:rPr>
          <w:rFonts w:eastAsia="Times New Roman" w:cs="Arial"/>
        </w:rPr>
      </w:pPr>
      <w:r>
        <w:rPr>
          <w:rFonts w:eastAsia="Times New Roman" w:cs="Arial"/>
        </w:rPr>
        <w:t>To put the organization’s plans in monetary terms;</w:t>
      </w:r>
    </w:p>
    <w:p w:rsidR="00E7498D" w:rsidRDefault="00E7498D" w:rsidP="00E7498D">
      <w:pPr>
        <w:pStyle w:val="ListParagraph"/>
        <w:numPr>
          <w:ilvl w:val="1"/>
          <w:numId w:val="2"/>
        </w:numPr>
        <w:spacing w:after="0" w:line="240" w:lineRule="auto"/>
        <w:rPr>
          <w:rFonts w:eastAsia="Times New Roman" w:cs="Arial"/>
        </w:rPr>
      </w:pPr>
      <w:r>
        <w:rPr>
          <w:rFonts w:eastAsia="Times New Roman" w:cs="Arial"/>
        </w:rPr>
        <w:t>To provide a means of allocating limited resources among the organization’s activities; and</w:t>
      </w:r>
    </w:p>
    <w:p w:rsidR="00E7498D" w:rsidRDefault="00E7498D" w:rsidP="00E7498D">
      <w:pPr>
        <w:pStyle w:val="ListParagraph"/>
        <w:numPr>
          <w:ilvl w:val="1"/>
          <w:numId w:val="2"/>
        </w:numPr>
        <w:spacing w:after="0" w:line="240" w:lineRule="auto"/>
        <w:rPr>
          <w:rFonts w:eastAsia="Times New Roman" w:cs="Arial"/>
        </w:rPr>
      </w:pPr>
      <w:r>
        <w:rPr>
          <w:rFonts w:eastAsia="Times New Roman" w:cs="Arial"/>
        </w:rPr>
        <w:t>To aid in tracking the organization’s actual revenues and expenditures against its goals</w:t>
      </w:r>
    </w:p>
    <w:p w:rsidR="00E7498D" w:rsidRDefault="00E7498D" w:rsidP="00E7498D">
      <w:pPr>
        <w:pStyle w:val="ListParagraph"/>
        <w:spacing w:after="0" w:line="240" w:lineRule="auto"/>
        <w:rPr>
          <w:rFonts w:eastAsia="Times New Roman" w:cs="Arial"/>
        </w:rPr>
      </w:pPr>
      <w:r>
        <w:rPr>
          <w:rFonts w:eastAsia="Times New Roman" w:cs="Arial"/>
        </w:rPr>
        <w:t xml:space="preserve">Financial plans and budgets should be organized annually.  The proper management of funds is important, especially when dealing with limited financial resources.  </w:t>
      </w:r>
    </w:p>
    <w:p w:rsidR="00E7498D" w:rsidRDefault="00E7498D" w:rsidP="00E7498D">
      <w:pPr>
        <w:pStyle w:val="ListParagraph"/>
        <w:spacing w:after="0" w:line="240" w:lineRule="auto"/>
        <w:rPr>
          <w:rFonts w:eastAsia="Times New Roman" w:cs="Arial"/>
        </w:rPr>
      </w:pPr>
    </w:p>
    <w:p w:rsidR="00E7498D" w:rsidRDefault="00E7498D" w:rsidP="00E7498D">
      <w:pPr>
        <w:pStyle w:val="ListParagraph"/>
        <w:spacing w:after="0" w:line="240" w:lineRule="auto"/>
        <w:rPr>
          <w:rFonts w:eastAsia="Times New Roman" w:cs="Arial"/>
        </w:rPr>
      </w:pPr>
      <w:r>
        <w:rPr>
          <w:rFonts w:eastAsia="Times New Roman" w:cs="Arial"/>
        </w:rPr>
        <w:t>Use the following questions to help plan and prioritize the student organization’s budgetary needs:</w:t>
      </w:r>
    </w:p>
    <w:p w:rsidR="00E7498D" w:rsidRDefault="00E7498D" w:rsidP="00E7498D">
      <w:pPr>
        <w:pStyle w:val="ListParagraph"/>
        <w:numPr>
          <w:ilvl w:val="0"/>
          <w:numId w:val="6"/>
        </w:numPr>
        <w:spacing w:after="0" w:line="240" w:lineRule="auto"/>
        <w:rPr>
          <w:rFonts w:eastAsia="Times New Roman" w:cs="Arial"/>
        </w:rPr>
      </w:pPr>
      <w:r>
        <w:rPr>
          <w:rFonts w:eastAsia="Times New Roman" w:cs="Arial"/>
        </w:rPr>
        <w:t xml:space="preserve">What is </w:t>
      </w:r>
      <w:r w:rsidR="005C0463">
        <w:rPr>
          <w:rFonts w:eastAsia="Times New Roman" w:cs="Arial"/>
        </w:rPr>
        <w:t>the mission of the organization</w:t>
      </w:r>
      <w:r>
        <w:rPr>
          <w:rFonts w:eastAsia="Times New Roman" w:cs="Arial"/>
        </w:rPr>
        <w:t>?  Review the mission/purpose of your organization as stated in your organization’s constitution and bylaws.</w:t>
      </w:r>
    </w:p>
    <w:p w:rsidR="00E7498D" w:rsidRDefault="00E7498D" w:rsidP="00E7498D">
      <w:pPr>
        <w:pStyle w:val="ListParagraph"/>
        <w:numPr>
          <w:ilvl w:val="0"/>
          <w:numId w:val="6"/>
        </w:numPr>
        <w:spacing w:after="0" w:line="240" w:lineRule="auto"/>
        <w:rPr>
          <w:rFonts w:eastAsia="Times New Roman" w:cs="Arial"/>
        </w:rPr>
      </w:pPr>
      <w:r>
        <w:rPr>
          <w:rFonts w:eastAsia="Times New Roman" w:cs="Arial"/>
        </w:rPr>
        <w:t xml:space="preserve">What does your organization want to accomplish in the next year and how can you accomplish it?  Develop goals and objectives that will help your organization fulfill its </w:t>
      </w:r>
      <w:proofErr w:type="gramStart"/>
      <w:r>
        <w:rPr>
          <w:rFonts w:eastAsia="Times New Roman" w:cs="Arial"/>
        </w:rPr>
        <w:t>purpose</w:t>
      </w:r>
      <w:proofErr w:type="gramEnd"/>
      <w:r>
        <w:rPr>
          <w:rFonts w:eastAsia="Times New Roman" w:cs="Arial"/>
        </w:rPr>
        <w:t>.</w:t>
      </w:r>
    </w:p>
    <w:p w:rsidR="00E7498D" w:rsidRDefault="005C0463" w:rsidP="00E7498D">
      <w:pPr>
        <w:pStyle w:val="ListParagraph"/>
        <w:numPr>
          <w:ilvl w:val="0"/>
          <w:numId w:val="6"/>
        </w:numPr>
        <w:spacing w:after="0" w:line="240" w:lineRule="auto"/>
        <w:rPr>
          <w:rFonts w:eastAsia="Times New Roman" w:cs="Arial"/>
        </w:rPr>
      </w:pPr>
      <w:r>
        <w:rPr>
          <w:rFonts w:eastAsia="Times New Roman" w:cs="Arial"/>
        </w:rPr>
        <w:t>What funding resources are available to the organization?  Research and identify the different funding sources available through on-campus entities, as well as, off-campus resources.</w:t>
      </w:r>
    </w:p>
    <w:p w:rsidR="005C0463" w:rsidRDefault="005C0463" w:rsidP="005C0463">
      <w:pPr>
        <w:pStyle w:val="ListParagraph"/>
        <w:numPr>
          <w:ilvl w:val="0"/>
          <w:numId w:val="6"/>
        </w:numPr>
        <w:spacing w:after="0" w:line="240" w:lineRule="auto"/>
        <w:rPr>
          <w:rFonts w:eastAsia="Times New Roman" w:cs="Arial"/>
        </w:rPr>
      </w:pPr>
      <w:r>
        <w:rPr>
          <w:rFonts w:eastAsia="Times New Roman" w:cs="Arial"/>
        </w:rPr>
        <w:t>Which items, supplies, programs, etc. are most important to the organization?  Prioritize the needs of the organization to determine the importance of monetary needs.</w:t>
      </w:r>
    </w:p>
    <w:p w:rsidR="00C35302" w:rsidRDefault="00C35302" w:rsidP="00C35302">
      <w:pPr>
        <w:spacing w:after="0" w:line="240" w:lineRule="auto"/>
        <w:rPr>
          <w:rFonts w:eastAsia="Times New Roman" w:cs="Arial"/>
        </w:rPr>
      </w:pPr>
    </w:p>
    <w:p w:rsidR="00C35302" w:rsidRDefault="00C35302" w:rsidP="00C35302">
      <w:pPr>
        <w:pStyle w:val="ListParagraph"/>
        <w:numPr>
          <w:ilvl w:val="0"/>
          <w:numId w:val="2"/>
        </w:numPr>
        <w:spacing w:after="0" w:line="240" w:lineRule="auto"/>
        <w:rPr>
          <w:rFonts w:eastAsia="Times New Roman" w:cs="Arial"/>
        </w:rPr>
      </w:pPr>
      <w:r>
        <w:rPr>
          <w:rFonts w:eastAsia="Times New Roman" w:cs="Arial"/>
        </w:rPr>
        <w:t>Sample Budget</w:t>
      </w:r>
    </w:p>
    <w:tbl>
      <w:tblPr>
        <w:tblStyle w:val="TableGrid"/>
        <w:tblW w:w="0" w:type="auto"/>
        <w:tblInd w:w="720" w:type="dxa"/>
        <w:tblLook w:val="04A0" w:firstRow="1" w:lastRow="0" w:firstColumn="1" w:lastColumn="0" w:noHBand="0" w:noVBand="1"/>
      </w:tblPr>
      <w:tblGrid>
        <w:gridCol w:w="1907"/>
        <w:gridCol w:w="1519"/>
        <w:gridCol w:w="1808"/>
        <w:gridCol w:w="2164"/>
        <w:gridCol w:w="1458"/>
      </w:tblGrid>
      <w:tr w:rsidR="00C35302" w:rsidTr="00C57CAA">
        <w:tc>
          <w:tcPr>
            <w:tcW w:w="1907" w:type="dxa"/>
          </w:tcPr>
          <w:p w:rsidR="00C35302" w:rsidRDefault="00C35302" w:rsidP="00C35302">
            <w:pPr>
              <w:rPr>
                <w:rFonts w:eastAsia="Times New Roman" w:cs="Arial"/>
              </w:rPr>
            </w:pPr>
            <w:r>
              <w:rPr>
                <w:rFonts w:eastAsia="Times New Roman" w:cs="Arial"/>
              </w:rPr>
              <w:t>Expenditure/Event</w:t>
            </w:r>
          </w:p>
        </w:tc>
        <w:tc>
          <w:tcPr>
            <w:tcW w:w="1519" w:type="dxa"/>
          </w:tcPr>
          <w:p w:rsidR="00C35302" w:rsidRDefault="00C35302" w:rsidP="00C35302">
            <w:pPr>
              <w:rPr>
                <w:rFonts w:eastAsia="Times New Roman" w:cs="Arial"/>
              </w:rPr>
            </w:pPr>
            <w:r>
              <w:rPr>
                <w:rFonts w:eastAsia="Times New Roman" w:cs="Arial"/>
              </w:rPr>
              <w:t>Date</w:t>
            </w:r>
          </w:p>
        </w:tc>
        <w:tc>
          <w:tcPr>
            <w:tcW w:w="1808" w:type="dxa"/>
          </w:tcPr>
          <w:p w:rsidR="00C35302" w:rsidRDefault="00C35302" w:rsidP="00C35302">
            <w:pPr>
              <w:rPr>
                <w:rFonts w:eastAsia="Times New Roman" w:cs="Arial"/>
              </w:rPr>
            </w:pPr>
            <w:r>
              <w:rPr>
                <w:rFonts w:eastAsia="Times New Roman" w:cs="Arial"/>
              </w:rPr>
              <w:t>Detailed Description</w:t>
            </w:r>
          </w:p>
        </w:tc>
        <w:tc>
          <w:tcPr>
            <w:tcW w:w="2164" w:type="dxa"/>
          </w:tcPr>
          <w:p w:rsidR="00C35302" w:rsidRDefault="00C35302" w:rsidP="00C35302">
            <w:pPr>
              <w:rPr>
                <w:rFonts w:eastAsia="Times New Roman" w:cs="Arial"/>
              </w:rPr>
            </w:pPr>
            <w:r>
              <w:rPr>
                <w:rFonts w:eastAsia="Times New Roman" w:cs="Arial"/>
              </w:rPr>
              <w:t>Amount allocated/deposited</w:t>
            </w:r>
          </w:p>
        </w:tc>
        <w:tc>
          <w:tcPr>
            <w:tcW w:w="1458" w:type="dxa"/>
          </w:tcPr>
          <w:p w:rsidR="00C35302" w:rsidRDefault="00C35302" w:rsidP="00C35302">
            <w:pPr>
              <w:rPr>
                <w:rFonts w:eastAsia="Times New Roman" w:cs="Arial"/>
              </w:rPr>
            </w:pPr>
            <w:r>
              <w:rPr>
                <w:rFonts w:eastAsia="Times New Roman" w:cs="Arial"/>
              </w:rPr>
              <w:t>Running Total</w:t>
            </w:r>
          </w:p>
        </w:tc>
      </w:tr>
      <w:tr w:rsidR="00C35302" w:rsidTr="00C57CAA">
        <w:tc>
          <w:tcPr>
            <w:tcW w:w="1907" w:type="dxa"/>
          </w:tcPr>
          <w:p w:rsidR="00C35302" w:rsidRDefault="00C35302" w:rsidP="00C35302">
            <w:pPr>
              <w:rPr>
                <w:rFonts w:eastAsia="Times New Roman" w:cs="Arial"/>
              </w:rPr>
            </w:pPr>
            <w:r>
              <w:rPr>
                <w:rFonts w:eastAsia="Times New Roman" w:cs="Arial"/>
              </w:rPr>
              <w:t>Balance Forward</w:t>
            </w:r>
          </w:p>
        </w:tc>
        <w:tc>
          <w:tcPr>
            <w:tcW w:w="1519" w:type="dxa"/>
          </w:tcPr>
          <w:p w:rsidR="00C35302" w:rsidRDefault="00C35302" w:rsidP="00C35302">
            <w:pPr>
              <w:rPr>
                <w:rFonts w:eastAsia="Times New Roman" w:cs="Arial"/>
              </w:rPr>
            </w:pPr>
            <w:r>
              <w:rPr>
                <w:rFonts w:eastAsia="Times New Roman" w:cs="Arial"/>
              </w:rPr>
              <w:t>Sept 1</w:t>
            </w:r>
          </w:p>
        </w:tc>
        <w:tc>
          <w:tcPr>
            <w:tcW w:w="1808" w:type="dxa"/>
          </w:tcPr>
          <w:p w:rsidR="00C35302" w:rsidRDefault="00C35302" w:rsidP="00C35302">
            <w:pPr>
              <w:rPr>
                <w:rFonts w:eastAsia="Times New Roman" w:cs="Arial"/>
              </w:rPr>
            </w:pPr>
            <w:r>
              <w:rPr>
                <w:rFonts w:eastAsia="Times New Roman" w:cs="Arial"/>
              </w:rPr>
              <w:t>Fund in account from last year</w:t>
            </w:r>
          </w:p>
        </w:tc>
        <w:tc>
          <w:tcPr>
            <w:tcW w:w="2164" w:type="dxa"/>
          </w:tcPr>
          <w:p w:rsidR="00C35302" w:rsidRDefault="00C35302" w:rsidP="00C35302">
            <w:pPr>
              <w:jc w:val="right"/>
              <w:rPr>
                <w:rFonts w:eastAsia="Times New Roman" w:cs="Arial"/>
              </w:rPr>
            </w:pPr>
            <w:r>
              <w:rPr>
                <w:rFonts w:eastAsia="Times New Roman" w:cs="Arial"/>
              </w:rPr>
              <w:t>350.00</w:t>
            </w:r>
          </w:p>
        </w:tc>
        <w:tc>
          <w:tcPr>
            <w:tcW w:w="1458" w:type="dxa"/>
          </w:tcPr>
          <w:p w:rsidR="00C35302" w:rsidRDefault="00C35302" w:rsidP="00C35302">
            <w:pPr>
              <w:jc w:val="right"/>
              <w:rPr>
                <w:rFonts w:eastAsia="Times New Roman" w:cs="Arial"/>
              </w:rPr>
            </w:pPr>
            <w:r>
              <w:rPr>
                <w:rFonts w:eastAsia="Times New Roman" w:cs="Arial"/>
              </w:rPr>
              <w:t>350.00</w:t>
            </w:r>
          </w:p>
        </w:tc>
      </w:tr>
      <w:tr w:rsidR="00C35302" w:rsidTr="00C57CAA">
        <w:tc>
          <w:tcPr>
            <w:tcW w:w="1907" w:type="dxa"/>
          </w:tcPr>
          <w:p w:rsidR="00C35302" w:rsidRDefault="00C35302" w:rsidP="00C35302">
            <w:pPr>
              <w:rPr>
                <w:rFonts w:eastAsia="Times New Roman" w:cs="Arial"/>
              </w:rPr>
            </w:pPr>
            <w:r>
              <w:rPr>
                <w:rFonts w:eastAsia="Times New Roman" w:cs="Arial"/>
              </w:rPr>
              <w:t>Hamburger Sale in the quad</w:t>
            </w:r>
          </w:p>
        </w:tc>
        <w:tc>
          <w:tcPr>
            <w:tcW w:w="1519" w:type="dxa"/>
          </w:tcPr>
          <w:p w:rsidR="00C35302" w:rsidRDefault="00C35302" w:rsidP="00C35302">
            <w:pPr>
              <w:rPr>
                <w:rFonts w:eastAsia="Times New Roman" w:cs="Arial"/>
              </w:rPr>
            </w:pPr>
            <w:r>
              <w:rPr>
                <w:rFonts w:eastAsia="Times New Roman" w:cs="Arial"/>
              </w:rPr>
              <w:t>Sept. 14</w:t>
            </w:r>
          </w:p>
        </w:tc>
        <w:tc>
          <w:tcPr>
            <w:tcW w:w="1808" w:type="dxa"/>
          </w:tcPr>
          <w:p w:rsidR="00C35302" w:rsidRDefault="00C35302" w:rsidP="00C35302">
            <w:pPr>
              <w:rPr>
                <w:rFonts w:eastAsia="Times New Roman" w:cs="Arial"/>
              </w:rPr>
            </w:pPr>
            <w:r>
              <w:rPr>
                <w:rFonts w:eastAsia="Times New Roman" w:cs="Arial"/>
              </w:rPr>
              <w:t>Buns</w:t>
            </w:r>
          </w:p>
          <w:p w:rsidR="00C35302" w:rsidRDefault="00C35302" w:rsidP="00C35302">
            <w:pPr>
              <w:rPr>
                <w:rFonts w:eastAsia="Times New Roman" w:cs="Arial"/>
              </w:rPr>
            </w:pPr>
            <w:r>
              <w:rPr>
                <w:rFonts w:eastAsia="Times New Roman" w:cs="Arial"/>
              </w:rPr>
              <w:t>Hamburger patties</w:t>
            </w:r>
          </w:p>
          <w:p w:rsidR="00C35302" w:rsidRDefault="00C35302" w:rsidP="00C35302">
            <w:pPr>
              <w:rPr>
                <w:rFonts w:eastAsia="Times New Roman" w:cs="Arial"/>
              </w:rPr>
            </w:pPr>
            <w:r>
              <w:rPr>
                <w:rFonts w:eastAsia="Times New Roman" w:cs="Arial"/>
              </w:rPr>
              <w:t>Condiments</w:t>
            </w:r>
          </w:p>
        </w:tc>
        <w:tc>
          <w:tcPr>
            <w:tcW w:w="2164" w:type="dxa"/>
          </w:tcPr>
          <w:p w:rsidR="00C35302" w:rsidRDefault="00C35302" w:rsidP="00C35302">
            <w:pPr>
              <w:jc w:val="right"/>
              <w:rPr>
                <w:rFonts w:eastAsia="Times New Roman" w:cs="Arial"/>
              </w:rPr>
            </w:pPr>
            <w:r>
              <w:rPr>
                <w:rFonts w:eastAsia="Times New Roman" w:cs="Arial"/>
              </w:rPr>
              <w:t>10.00</w:t>
            </w:r>
          </w:p>
          <w:p w:rsidR="00C35302" w:rsidRDefault="00C35302" w:rsidP="00C35302">
            <w:pPr>
              <w:rPr>
                <w:rFonts w:eastAsia="Times New Roman" w:cs="Arial"/>
              </w:rPr>
            </w:pPr>
          </w:p>
          <w:p w:rsidR="00C35302" w:rsidRDefault="00C35302" w:rsidP="00C35302">
            <w:pPr>
              <w:jc w:val="right"/>
              <w:rPr>
                <w:rFonts w:eastAsia="Times New Roman" w:cs="Arial"/>
              </w:rPr>
            </w:pPr>
            <w:r>
              <w:rPr>
                <w:rFonts w:eastAsia="Times New Roman" w:cs="Arial"/>
              </w:rPr>
              <w:t>25.00</w:t>
            </w:r>
          </w:p>
          <w:p w:rsidR="00C35302" w:rsidRDefault="00C35302" w:rsidP="00C35302">
            <w:pPr>
              <w:jc w:val="right"/>
              <w:rPr>
                <w:rFonts w:eastAsia="Times New Roman" w:cs="Arial"/>
              </w:rPr>
            </w:pPr>
            <w:r>
              <w:rPr>
                <w:rFonts w:eastAsia="Times New Roman" w:cs="Arial"/>
              </w:rPr>
              <w:t>5.00</w:t>
            </w:r>
          </w:p>
          <w:p w:rsidR="00C35302" w:rsidRDefault="00C35302" w:rsidP="00C35302">
            <w:pPr>
              <w:jc w:val="right"/>
              <w:rPr>
                <w:rFonts w:eastAsia="Times New Roman" w:cs="Arial"/>
              </w:rPr>
            </w:pPr>
            <w:r>
              <w:rPr>
                <w:rFonts w:eastAsia="Times New Roman" w:cs="Arial"/>
              </w:rPr>
              <w:t>Total spent:  (40.00)</w:t>
            </w:r>
          </w:p>
        </w:tc>
        <w:tc>
          <w:tcPr>
            <w:tcW w:w="1458" w:type="dxa"/>
          </w:tcPr>
          <w:p w:rsidR="00C35302" w:rsidRDefault="00C35302" w:rsidP="00C35302">
            <w:pPr>
              <w:rPr>
                <w:rFonts w:eastAsia="Times New Roman" w:cs="Arial"/>
              </w:rPr>
            </w:pPr>
          </w:p>
          <w:p w:rsidR="00C35302" w:rsidRDefault="00C35302" w:rsidP="00C35302">
            <w:pPr>
              <w:rPr>
                <w:rFonts w:eastAsia="Times New Roman" w:cs="Arial"/>
              </w:rPr>
            </w:pPr>
          </w:p>
          <w:p w:rsidR="00C35302" w:rsidRDefault="00C35302" w:rsidP="00C35302">
            <w:pPr>
              <w:rPr>
                <w:rFonts w:eastAsia="Times New Roman" w:cs="Arial"/>
              </w:rPr>
            </w:pPr>
          </w:p>
          <w:p w:rsidR="00C35302" w:rsidRDefault="00C35302" w:rsidP="00C35302">
            <w:pPr>
              <w:rPr>
                <w:rFonts w:eastAsia="Times New Roman" w:cs="Arial"/>
              </w:rPr>
            </w:pPr>
          </w:p>
          <w:p w:rsidR="00C35302" w:rsidRDefault="00C35302" w:rsidP="00C35302">
            <w:pPr>
              <w:jc w:val="right"/>
              <w:rPr>
                <w:rFonts w:eastAsia="Times New Roman" w:cs="Arial"/>
              </w:rPr>
            </w:pPr>
            <w:r>
              <w:rPr>
                <w:rFonts w:eastAsia="Times New Roman" w:cs="Arial"/>
              </w:rPr>
              <w:t>310.00</w:t>
            </w:r>
          </w:p>
        </w:tc>
      </w:tr>
      <w:tr w:rsidR="00C35302" w:rsidTr="00C57CAA">
        <w:tc>
          <w:tcPr>
            <w:tcW w:w="1907" w:type="dxa"/>
          </w:tcPr>
          <w:p w:rsidR="00C35302" w:rsidRDefault="00C35302" w:rsidP="00C35302">
            <w:pPr>
              <w:rPr>
                <w:rFonts w:eastAsia="Times New Roman" w:cs="Arial"/>
              </w:rPr>
            </w:pPr>
            <w:r>
              <w:rPr>
                <w:rFonts w:eastAsia="Times New Roman" w:cs="Arial"/>
              </w:rPr>
              <w:t>Funds raised from hamburger sales</w:t>
            </w:r>
          </w:p>
        </w:tc>
        <w:tc>
          <w:tcPr>
            <w:tcW w:w="1519" w:type="dxa"/>
          </w:tcPr>
          <w:p w:rsidR="00C35302" w:rsidRDefault="00C35302" w:rsidP="00C35302">
            <w:pPr>
              <w:rPr>
                <w:rFonts w:eastAsia="Times New Roman" w:cs="Arial"/>
              </w:rPr>
            </w:pPr>
            <w:r>
              <w:rPr>
                <w:rFonts w:eastAsia="Times New Roman" w:cs="Arial"/>
              </w:rPr>
              <w:t>Sept. 15</w:t>
            </w:r>
          </w:p>
        </w:tc>
        <w:tc>
          <w:tcPr>
            <w:tcW w:w="1808" w:type="dxa"/>
          </w:tcPr>
          <w:p w:rsidR="00C35302" w:rsidRDefault="00C35302" w:rsidP="00C35302">
            <w:pPr>
              <w:rPr>
                <w:rFonts w:eastAsia="Times New Roman" w:cs="Arial"/>
              </w:rPr>
            </w:pPr>
            <w:r>
              <w:rPr>
                <w:rFonts w:eastAsia="Times New Roman" w:cs="Arial"/>
              </w:rPr>
              <w:t>Deposited into organization bank account</w:t>
            </w:r>
          </w:p>
        </w:tc>
        <w:tc>
          <w:tcPr>
            <w:tcW w:w="2164" w:type="dxa"/>
          </w:tcPr>
          <w:p w:rsidR="00C35302" w:rsidRDefault="00C35302" w:rsidP="00C35302">
            <w:pPr>
              <w:jc w:val="right"/>
              <w:rPr>
                <w:rFonts w:eastAsia="Times New Roman" w:cs="Arial"/>
              </w:rPr>
            </w:pPr>
            <w:r>
              <w:rPr>
                <w:rFonts w:eastAsia="Times New Roman" w:cs="Arial"/>
              </w:rPr>
              <w:t>100.00</w:t>
            </w:r>
          </w:p>
        </w:tc>
        <w:tc>
          <w:tcPr>
            <w:tcW w:w="1458" w:type="dxa"/>
          </w:tcPr>
          <w:p w:rsidR="00C35302" w:rsidRDefault="00C35302" w:rsidP="00C35302">
            <w:pPr>
              <w:jc w:val="right"/>
              <w:rPr>
                <w:rFonts w:eastAsia="Times New Roman" w:cs="Arial"/>
              </w:rPr>
            </w:pPr>
            <w:r>
              <w:rPr>
                <w:rFonts w:eastAsia="Times New Roman" w:cs="Arial"/>
              </w:rPr>
              <w:t>410.00</w:t>
            </w:r>
          </w:p>
        </w:tc>
      </w:tr>
      <w:tr w:rsidR="00C35302" w:rsidTr="00C57CAA">
        <w:tc>
          <w:tcPr>
            <w:tcW w:w="1907" w:type="dxa"/>
          </w:tcPr>
          <w:p w:rsidR="00C35302" w:rsidRDefault="00C35302" w:rsidP="00C35302">
            <w:pPr>
              <w:rPr>
                <w:rFonts w:eastAsia="Times New Roman" w:cs="Arial"/>
              </w:rPr>
            </w:pPr>
            <w:r>
              <w:rPr>
                <w:rFonts w:eastAsia="Times New Roman" w:cs="Arial"/>
              </w:rPr>
              <w:t xml:space="preserve">Member </w:t>
            </w:r>
            <w:r>
              <w:rPr>
                <w:rFonts w:eastAsia="Times New Roman" w:cs="Arial"/>
              </w:rPr>
              <w:lastRenderedPageBreak/>
              <w:t>recruitment</w:t>
            </w:r>
          </w:p>
        </w:tc>
        <w:tc>
          <w:tcPr>
            <w:tcW w:w="1519" w:type="dxa"/>
          </w:tcPr>
          <w:p w:rsidR="00C35302" w:rsidRDefault="00C35302" w:rsidP="00C35302">
            <w:pPr>
              <w:rPr>
                <w:rFonts w:eastAsia="Times New Roman" w:cs="Arial"/>
              </w:rPr>
            </w:pPr>
            <w:r>
              <w:rPr>
                <w:rFonts w:eastAsia="Times New Roman" w:cs="Arial"/>
              </w:rPr>
              <w:lastRenderedPageBreak/>
              <w:t>Oct. 7</w:t>
            </w:r>
          </w:p>
        </w:tc>
        <w:tc>
          <w:tcPr>
            <w:tcW w:w="1808" w:type="dxa"/>
          </w:tcPr>
          <w:p w:rsidR="00C35302" w:rsidRDefault="00C35302" w:rsidP="00C35302">
            <w:pPr>
              <w:rPr>
                <w:rFonts w:eastAsia="Times New Roman" w:cs="Arial"/>
              </w:rPr>
            </w:pPr>
            <w:r>
              <w:rPr>
                <w:rFonts w:eastAsia="Times New Roman" w:cs="Arial"/>
              </w:rPr>
              <w:t>Flyers</w:t>
            </w:r>
          </w:p>
        </w:tc>
        <w:tc>
          <w:tcPr>
            <w:tcW w:w="2164" w:type="dxa"/>
          </w:tcPr>
          <w:p w:rsidR="00C35302" w:rsidRDefault="00C35302" w:rsidP="00C35302">
            <w:pPr>
              <w:jc w:val="right"/>
              <w:rPr>
                <w:rFonts w:eastAsia="Times New Roman" w:cs="Arial"/>
              </w:rPr>
            </w:pPr>
            <w:r>
              <w:rPr>
                <w:rFonts w:eastAsia="Times New Roman" w:cs="Arial"/>
              </w:rPr>
              <w:t>25.00</w:t>
            </w:r>
          </w:p>
          <w:p w:rsidR="00C35302" w:rsidRDefault="00C35302" w:rsidP="00C35302">
            <w:pPr>
              <w:jc w:val="right"/>
              <w:rPr>
                <w:rFonts w:eastAsia="Times New Roman" w:cs="Arial"/>
              </w:rPr>
            </w:pPr>
            <w:r>
              <w:rPr>
                <w:rFonts w:eastAsia="Times New Roman" w:cs="Arial"/>
              </w:rPr>
              <w:lastRenderedPageBreak/>
              <w:t>Total spent:  (25.00)</w:t>
            </w:r>
          </w:p>
        </w:tc>
        <w:tc>
          <w:tcPr>
            <w:tcW w:w="1458" w:type="dxa"/>
          </w:tcPr>
          <w:p w:rsidR="00C35302" w:rsidRDefault="00C35302" w:rsidP="00C35302">
            <w:pPr>
              <w:jc w:val="right"/>
              <w:rPr>
                <w:rFonts w:eastAsia="Times New Roman" w:cs="Arial"/>
              </w:rPr>
            </w:pPr>
            <w:r>
              <w:rPr>
                <w:rFonts w:eastAsia="Times New Roman" w:cs="Arial"/>
              </w:rPr>
              <w:lastRenderedPageBreak/>
              <w:t>385.00</w:t>
            </w:r>
          </w:p>
        </w:tc>
      </w:tr>
      <w:tr w:rsidR="00C35302" w:rsidTr="00C57CAA">
        <w:tc>
          <w:tcPr>
            <w:tcW w:w="1907" w:type="dxa"/>
          </w:tcPr>
          <w:p w:rsidR="00C35302" w:rsidRDefault="00C35302" w:rsidP="00C35302">
            <w:pPr>
              <w:rPr>
                <w:rFonts w:eastAsia="Times New Roman" w:cs="Arial"/>
              </w:rPr>
            </w:pPr>
            <w:r>
              <w:rPr>
                <w:rFonts w:eastAsia="Times New Roman" w:cs="Arial"/>
              </w:rPr>
              <w:lastRenderedPageBreak/>
              <w:t>Member Dues</w:t>
            </w:r>
          </w:p>
        </w:tc>
        <w:tc>
          <w:tcPr>
            <w:tcW w:w="1519" w:type="dxa"/>
          </w:tcPr>
          <w:p w:rsidR="00C35302" w:rsidRDefault="00C35302" w:rsidP="00C35302">
            <w:pPr>
              <w:rPr>
                <w:rFonts w:eastAsia="Times New Roman" w:cs="Arial"/>
              </w:rPr>
            </w:pPr>
            <w:r>
              <w:rPr>
                <w:rFonts w:eastAsia="Times New Roman" w:cs="Arial"/>
              </w:rPr>
              <w:t>Oct. 31</w:t>
            </w:r>
          </w:p>
        </w:tc>
        <w:tc>
          <w:tcPr>
            <w:tcW w:w="1808" w:type="dxa"/>
          </w:tcPr>
          <w:p w:rsidR="00C35302" w:rsidRDefault="00C35302" w:rsidP="00C35302">
            <w:pPr>
              <w:rPr>
                <w:rFonts w:eastAsia="Times New Roman" w:cs="Arial"/>
              </w:rPr>
            </w:pPr>
            <w:r>
              <w:rPr>
                <w:rFonts w:eastAsia="Times New Roman" w:cs="Arial"/>
              </w:rPr>
              <w:t>$10 per person for 25 people</w:t>
            </w:r>
          </w:p>
        </w:tc>
        <w:tc>
          <w:tcPr>
            <w:tcW w:w="2164" w:type="dxa"/>
          </w:tcPr>
          <w:p w:rsidR="00C35302" w:rsidRDefault="00C35302" w:rsidP="00C35302">
            <w:pPr>
              <w:jc w:val="right"/>
              <w:rPr>
                <w:rFonts w:eastAsia="Times New Roman" w:cs="Arial"/>
              </w:rPr>
            </w:pPr>
            <w:r>
              <w:rPr>
                <w:rFonts w:eastAsia="Times New Roman" w:cs="Arial"/>
              </w:rPr>
              <w:t>$250.00</w:t>
            </w:r>
          </w:p>
        </w:tc>
        <w:tc>
          <w:tcPr>
            <w:tcW w:w="1458" w:type="dxa"/>
          </w:tcPr>
          <w:p w:rsidR="00C35302" w:rsidRDefault="00C35302" w:rsidP="00C35302">
            <w:pPr>
              <w:jc w:val="right"/>
              <w:rPr>
                <w:rFonts w:eastAsia="Times New Roman" w:cs="Arial"/>
              </w:rPr>
            </w:pPr>
            <w:r>
              <w:rPr>
                <w:rFonts w:eastAsia="Times New Roman" w:cs="Arial"/>
              </w:rPr>
              <w:t>635.00</w:t>
            </w:r>
          </w:p>
        </w:tc>
      </w:tr>
      <w:tr w:rsidR="00C35302" w:rsidTr="00C57CAA">
        <w:tc>
          <w:tcPr>
            <w:tcW w:w="1907" w:type="dxa"/>
          </w:tcPr>
          <w:p w:rsidR="00C35302" w:rsidRDefault="00C57CAA" w:rsidP="00C35302">
            <w:pPr>
              <w:rPr>
                <w:rFonts w:eastAsia="Times New Roman" w:cs="Arial"/>
              </w:rPr>
            </w:pPr>
            <w:r>
              <w:rPr>
                <w:rFonts w:eastAsia="Times New Roman" w:cs="Arial"/>
              </w:rPr>
              <w:t>Member Social</w:t>
            </w:r>
          </w:p>
        </w:tc>
        <w:tc>
          <w:tcPr>
            <w:tcW w:w="1519" w:type="dxa"/>
          </w:tcPr>
          <w:p w:rsidR="00C35302" w:rsidRDefault="00C57CAA" w:rsidP="00C35302">
            <w:pPr>
              <w:rPr>
                <w:rFonts w:eastAsia="Times New Roman" w:cs="Arial"/>
              </w:rPr>
            </w:pPr>
            <w:r>
              <w:rPr>
                <w:rFonts w:eastAsia="Times New Roman" w:cs="Arial"/>
              </w:rPr>
              <w:t>Nov. 15</w:t>
            </w:r>
          </w:p>
        </w:tc>
        <w:tc>
          <w:tcPr>
            <w:tcW w:w="1808" w:type="dxa"/>
          </w:tcPr>
          <w:p w:rsidR="00C35302" w:rsidRDefault="00C57CAA" w:rsidP="00C35302">
            <w:pPr>
              <w:rPr>
                <w:rFonts w:eastAsia="Times New Roman" w:cs="Arial"/>
              </w:rPr>
            </w:pPr>
            <w:r>
              <w:rPr>
                <w:rFonts w:eastAsia="Times New Roman" w:cs="Arial"/>
              </w:rPr>
              <w:t>Food/beverage</w:t>
            </w:r>
          </w:p>
          <w:p w:rsidR="00C57CAA" w:rsidRDefault="00C57CAA" w:rsidP="00C35302">
            <w:pPr>
              <w:rPr>
                <w:rFonts w:eastAsia="Times New Roman" w:cs="Arial"/>
              </w:rPr>
            </w:pPr>
            <w:r>
              <w:rPr>
                <w:rFonts w:eastAsia="Times New Roman" w:cs="Arial"/>
              </w:rPr>
              <w:t>A/V rental</w:t>
            </w:r>
          </w:p>
          <w:p w:rsidR="00C57CAA" w:rsidRDefault="00C57CAA" w:rsidP="00C35302">
            <w:pPr>
              <w:rPr>
                <w:rFonts w:eastAsia="Times New Roman" w:cs="Arial"/>
              </w:rPr>
            </w:pPr>
            <w:r>
              <w:rPr>
                <w:rFonts w:eastAsia="Times New Roman" w:cs="Arial"/>
              </w:rPr>
              <w:t>Decorations</w:t>
            </w:r>
          </w:p>
          <w:p w:rsidR="00C57CAA" w:rsidRDefault="00C57CAA" w:rsidP="00C35302">
            <w:pPr>
              <w:rPr>
                <w:rFonts w:eastAsia="Times New Roman" w:cs="Arial"/>
              </w:rPr>
            </w:pPr>
            <w:r>
              <w:rPr>
                <w:rFonts w:eastAsia="Times New Roman" w:cs="Arial"/>
              </w:rPr>
              <w:t>Member gifts</w:t>
            </w:r>
          </w:p>
        </w:tc>
        <w:tc>
          <w:tcPr>
            <w:tcW w:w="2164" w:type="dxa"/>
          </w:tcPr>
          <w:p w:rsidR="00C35302" w:rsidRDefault="00C57CAA" w:rsidP="00C57CAA">
            <w:pPr>
              <w:jc w:val="right"/>
              <w:rPr>
                <w:rFonts w:eastAsia="Times New Roman" w:cs="Arial"/>
              </w:rPr>
            </w:pPr>
            <w:r>
              <w:rPr>
                <w:rFonts w:eastAsia="Times New Roman" w:cs="Arial"/>
              </w:rPr>
              <w:t>100.00</w:t>
            </w:r>
          </w:p>
          <w:p w:rsidR="00C57CAA" w:rsidRDefault="00C57CAA" w:rsidP="00C57CAA">
            <w:pPr>
              <w:jc w:val="right"/>
              <w:rPr>
                <w:rFonts w:eastAsia="Times New Roman" w:cs="Arial"/>
              </w:rPr>
            </w:pPr>
            <w:r>
              <w:rPr>
                <w:rFonts w:eastAsia="Times New Roman" w:cs="Arial"/>
              </w:rPr>
              <w:t>25.00</w:t>
            </w:r>
          </w:p>
          <w:p w:rsidR="00C57CAA" w:rsidRDefault="00C57CAA" w:rsidP="00C57CAA">
            <w:pPr>
              <w:jc w:val="right"/>
              <w:rPr>
                <w:rFonts w:eastAsia="Times New Roman" w:cs="Arial"/>
              </w:rPr>
            </w:pPr>
            <w:r>
              <w:rPr>
                <w:rFonts w:eastAsia="Times New Roman" w:cs="Arial"/>
              </w:rPr>
              <w:t>30.00</w:t>
            </w:r>
          </w:p>
          <w:p w:rsidR="00C57CAA" w:rsidRDefault="00C57CAA" w:rsidP="00C57CAA">
            <w:pPr>
              <w:jc w:val="right"/>
              <w:rPr>
                <w:rFonts w:eastAsia="Times New Roman" w:cs="Arial"/>
              </w:rPr>
            </w:pPr>
            <w:r>
              <w:rPr>
                <w:rFonts w:eastAsia="Times New Roman" w:cs="Arial"/>
              </w:rPr>
              <w:t>40.00</w:t>
            </w:r>
          </w:p>
          <w:p w:rsidR="00C57CAA" w:rsidRDefault="00C57CAA" w:rsidP="00C57CAA">
            <w:pPr>
              <w:jc w:val="right"/>
              <w:rPr>
                <w:rFonts w:eastAsia="Times New Roman" w:cs="Arial"/>
              </w:rPr>
            </w:pPr>
            <w:r>
              <w:rPr>
                <w:rFonts w:eastAsia="Times New Roman" w:cs="Arial"/>
              </w:rPr>
              <w:t xml:space="preserve">Total spent: (195.00) </w:t>
            </w:r>
          </w:p>
        </w:tc>
        <w:tc>
          <w:tcPr>
            <w:tcW w:w="1458" w:type="dxa"/>
          </w:tcPr>
          <w:p w:rsidR="00C35302" w:rsidRDefault="00C35302" w:rsidP="00C35302">
            <w:pPr>
              <w:rPr>
                <w:rFonts w:eastAsia="Times New Roman" w:cs="Arial"/>
              </w:rPr>
            </w:pPr>
          </w:p>
          <w:p w:rsidR="00C57CAA" w:rsidRDefault="00C57CAA" w:rsidP="00C35302">
            <w:pPr>
              <w:rPr>
                <w:rFonts w:eastAsia="Times New Roman" w:cs="Arial"/>
              </w:rPr>
            </w:pPr>
          </w:p>
          <w:p w:rsidR="00C57CAA" w:rsidRDefault="00C57CAA" w:rsidP="00C35302">
            <w:pPr>
              <w:rPr>
                <w:rFonts w:eastAsia="Times New Roman" w:cs="Arial"/>
              </w:rPr>
            </w:pPr>
          </w:p>
          <w:p w:rsidR="00C57CAA" w:rsidRDefault="00C57CAA" w:rsidP="00C35302">
            <w:pPr>
              <w:rPr>
                <w:rFonts w:eastAsia="Times New Roman" w:cs="Arial"/>
              </w:rPr>
            </w:pPr>
          </w:p>
          <w:p w:rsidR="00C57CAA" w:rsidRDefault="00C57CAA" w:rsidP="00C57CAA">
            <w:pPr>
              <w:jc w:val="right"/>
              <w:rPr>
                <w:rFonts w:eastAsia="Times New Roman" w:cs="Arial"/>
              </w:rPr>
            </w:pPr>
            <w:r>
              <w:rPr>
                <w:rFonts w:eastAsia="Times New Roman" w:cs="Arial"/>
              </w:rPr>
              <w:t>440.00</w:t>
            </w:r>
          </w:p>
        </w:tc>
      </w:tr>
      <w:tr w:rsidR="00C35302" w:rsidTr="00C57CAA">
        <w:tc>
          <w:tcPr>
            <w:tcW w:w="1907" w:type="dxa"/>
          </w:tcPr>
          <w:p w:rsidR="00C35302" w:rsidRDefault="00C57CAA" w:rsidP="00C35302">
            <w:pPr>
              <w:rPr>
                <w:rFonts w:eastAsia="Times New Roman" w:cs="Arial"/>
              </w:rPr>
            </w:pPr>
            <w:r>
              <w:rPr>
                <w:rFonts w:eastAsia="Times New Roman" w:cs="Arial"/>
              </w:rPr>
              <w:t>TOTAL</w:t>
            </w:r>
          </w:p>
        </w:tc>
        <w:tc>
          <w:tcPr>
            <w:tcW w:w="1519" w:type="dxa"/>
            <w:shd w:val="clear" w:color="auto" w:fill="A6A6A6" w:themeFill="background1" w:themeFillShade="A6"/>
          </w:tcPr>
          <w:p w:rsidR="00C35302" w:rsidRPr="00C57CAA" w:rsidRDefault="00C35302" w:rsidP="00C35302">
            <w:pPr>
              <w:rPr>
                <w:rFonts w:eastAsia="Times New Roman" w:cs="Arial"/>
                <w:highlight w:val="darkGray"/>
              </w:rPr>
            </w:pPr>
          </w:p>
        </w:tc>
        <w:tc>
          <w:tcPr>
            <w:tcW w:w="1808" w:type="dxa"/>
            <w:shd w:val="clear" w:color="auto" w:fill="A6A6A6" w:themeFill="background1" w:themeFillShade="A6"/>
          </w:tcPr>
          <w:p w:rsidR="00C35302" w:rsidRPr="00C57CAA" w:rsidRDefault="00C35302" w:rsidP="00C35302">
            <w:pPr>
              <w:rPr>
                <w:rFonts w:eastAsia="Times New Roman" w:cs="Arial"/>
                <w:highlight w:val="darkGray"/>
              </w:rPr>
            </w:pPr>
          </w:p>
        </w:tc>
        <w:tc>
          <w:tcPr>
            <w:tcW w:w="2164" w:type="dxa"/>
            <w:shd w:val="clear" w:color="auto" w:fill="A6A6A6" w:themeFill="background1" w:themeFillShade="A6"/>
          </w:tcPr>
          <w:p w:rsidR="00C35302" w:rsidRPr="00C57CAA" w:rsidRDefault="00C35302" w:rsidP="00C35302">
            <w:pPr>
              <w:rPr>
                <w:rFonts w:eastAsia="Times New Roman" w:cs="Arial"/>
                <w:highlight w:val="darkGray"/>
              </w:rPr>
            </w:pPr>
          </w:p>
        </w:tc>
        <w:tc>
          <w:tcPr>
            <w:tcW w:w="1458" w:type="dxa"/>
          </w:tcPr>
          <w:p w:rsidR="00C35302" w:rsidRDefault="00C57CAA" w:rsidP="00C57CAA">
            <w:pPr>
              <w:jc w:val="right"/>
              <w:rPr>
                <w:rFonts w:eastAsia="Times New Roman" w:cs="Arial"/>
              </w:rPr>
            </w:pPr>
            <w:r>
              <w:rPr>
                <w:rFonts w:eastAsia="Times New Roman" w:cs="Arial"/>
              </w:rPr>
              <w:t>440.00</w:t>
            </w:r>
          </w:p>
        </w:tc>
      </w:tr>
    </w:tbl>
    <w:p w:rsidR="00C35302" w:rsidRPr="00C35302" w:rsidRDefault="00C35302" w:rsidP="00C35302">
      <w:pPr>
        <w:spacing w:after="0" w:line="240" w:lineRule="auto"/>
        <w:ind w:left="720"/>
        <w:rPr>
          <w:rFonts w:eastAsia="Times New Roman" w:cs="Arial"/>
        </w:rPr>
      </w:pPr>
    </w:p>
    <w:p w:rsidR="00E7498D" w:rsidRDefault="00E7498D" w:rsidP="005B3B8F">
      <w:pPr>
        <w:spacing w:after="0" w:line="240" w:lineRule="auto"/>
        <w:rPr>
          <w:rFonts w:eastAsia="Times New Roman" w:cs="Arial"/>
        </w:rPr>
      </w:pPr>
    </w:p>
    <w:p w:rsidR="00C57CAA" w:rsidRDefault="00C57CAA" w:rsidP="005B3B8F">
      <w:pPr>
        <w:spacing w:after="0" w:line="240" w:lineRule="auto"/>
        <w:rPr>
          <w:rFonts w:eastAsia="Times New Roman" w:cs="Arial"/>
        </w:rPr>
      </w:pPr>
    </w:p>
    <w:p w:rsidR="005B3B8F" w:rsidRDefault="005B3B8F" w:rsidP="005B3B8F">
      <w:pPr>
        <w:pStyle w:val="ListParagraph"/>
        <w:numPr>
          <w:ilvl w:val="0"/>
          <w:numId w:val="2"/>
        </w:numPr>
        <w:spacing w:after="0" w:line="240" w:lineRule="auto"/>
        <w:rPr>
          <w:rFonts w:eastAsia="Times New Roman" w:cs="Arial"/>
        </w:rPr>
      </w:pPr>
      <w:r>
        <w:rPr>
          <w:rFonts w:eastAsia="Times New Roman" w:cs="Arial"/>
        </w:rPr>
        <w:t>Balancing the checkbook</w:t>
      </w:r>
    </w:p>
    <w:p w:rsidR="00C57CAA" w:rsidRDefault="00C57CAA" w:rsidP="00C57CAA">
      <w:pPr>
        <w:spacing w:after="0" w:line="240" w:lineRule="auto"/>
        <w:ind w:left="720"/>
        <w:rPr>
          <w:rFonts w:eastAsia="Times New Roman" w:cs="Arial"/>
        </w:rPr>
      </w:pPr>
      <w:r>
        <w:rPr>
          <w:rFonts w:eastAsia="Times New Roman" w:cs="Arial"/>
        </w:rPr>
        <w:t xml:space="preserve">You can find more information about how to balance your checkbook at </w:t>
      </w:r>
      <w:hyperlink r:id="rId6" w:history="1">
        <w:r w:rsidRPr="000445CD">
          <w:rPr>
            <w:rStyle w:val="Hyperlink"/>
            <w:rFonts w:eastAsia="Times New Roman" w:cs="Arial"/>
          </w:rPr>
          <w:t>http://www.moneyinstructor.com/art/balancing.asp</w:t>
        </w:r>
      </w:hyperlink>
    </w:p>
    <w:p w:rsidR="00681C5D" w:rsidRDefault="00681C5D" w:rsidP="00C57CAA">
      <w:pPr>
        <w:spacing w:after="0" w:line="240" w:lineRule="auto"/>
        <w:ind w:left="720"/>
        <w:rPr>
          <w:rFonts w:eastAsia="Times New Roman" w:cs="Arial"/>
        </w:rPr>
      </w:pPr>
    </w:p>
    <w:p w:rsidR="00681C5D" w:rsidRDefault="00681C5D" w:rsidP="00681C5D">
      <w:pPr>
        <w:pStyle w:val="ListParagraph"/>
        <w:numPr>
          <w:ilvl w:val="0"/>
          <w:numId w:val="2"/>
        </w:numPr>
        <w:spacing w:after="0" w:line="240" w:lineRule="auto"/>
        <w:rPr>
          <w:rFonts w:eastAsia="Times New Roman" w:cs="Arial"/>
        </w:rPr>
      </w:pPr>
      <w:r>
        <w:rPr>
          <w:rFonts w:eastAsia="Times New Roman" w:cs="Arial"/>
        </w:rPr>
        <w:t>Additional resources</w:t>
      </w:r>
    </w:p>
    <w:p w:rsidR="00C57CAA" w:rsidRPr="00C57CAA" w:rsidRDefault="00681C5D" w:rsidP="00681C5D">
      <w:pPr>
        <w:spacing w:after="0" w:line="240" w:lineRule="auto"/>
        <w:ind w:left="720"/>
        <w:rPr>
          <w:rFonts w:eastAsia="Times New Roman" w:cs="Arial"/>
        </w:rPr>
      </w:pPr>
      <w:r>
        <w:rPr>
          <w:rFonts w:eastAsia="Times New Roman" w:cs="Arial"/>
        </w:rPr>
        <w:t xml:space="preserve">You can find more information at Money Savvy Cats, </w:t>
      </w:r>
      <w:hyperlink r:id="rId7" w:history="1">
        <w:r w:rsidRPr="000445CD">
          <w:rPr>
            <w:rStyle w:val="Hyperlink"/>
            <w:rFonts w:eastAsia="Times New Roman" w:cs="Arial"/>
          </w:rPr>
          <w:t>www.vpsa.txstate.edu/moneysavvy</w:t>
        </w:r>
      </w:hyperlink>
    </w:p>
    <w:p w:rsidR="005B3B8F" w:rsidRPr="005B3B8F" w:rsidRDefault="005B3B8F" w:rsidP="005B3B8F">
      <w:pPr>
        <w:spacing w:after="0" w:line="240" w:lineRule="auto"/>
        <w:rPr>
          <w:rFonts w:eastAsia="Times New Roman" w:cs="Arial"/>
        </w:rPr>
      </w:pPr>
    </w:p>
    <w:p w:rsidR="005B3B8F" w:rsidRDefault="005B3B8F" w:rsidP="005B3B8F">
      <w:pPr>
        <w:pStyle w:val="ListParagraph"/>
        <w:numPr>
          <w:ilvl w:val="0"/>
          <w:numId w:val="2"/>
        </w:numPr>
        <w:spacing w:after="0" w:line="240" w:lineRule="auto"/>
        <w:rPr>
          <w:rFonts w:eastAsia="Times New Roman" w:cs="Arial"/>
        </w:rPr>
      </w:pPr>
      <w:r>
        <w:rPr>
          <w:rFonts w:eastAsia="Times New Roman" w:cs="Arial"/>
        </w:rPr>
        <w:t>Protecting the organization’s credit reputation &amp; preventing identity theft</w:t>
      </w:r>
    </w:p>
    <w:p w:rsidR="00A04B1C" w:rsidRDefault="00A04B1C" w:rsidP="00A04B1C">
      <w:pPr>
        <w:pStyle w:val="ListParagraph"/>
        <w:spacing w:after="0" w:line="240" w:lineRule="auto"/>
        <w:rPr>
          <w:rFonts w:eastAsia="Times New Roman" w:cs="Arial"/>
        </w:rPr>
      </w:pPr>
      <w:r>
        <w:rPr>
          <w:rFonts w:eastAsia="Times New Roman" w:cs="Arial"/>
        </w:rPr>
        <w:t xml:space="preserve">You can find more information though the Federal Trade Commission at </w:t>
      </w:r>
      <w:hyperlink r:id="rId8" w:history="1">
        <w:r w:rsidRPr="0090771E">
          <w:rPr>
            <w:rStyle w:val="Hyperlink"/>
            <w:rFonts w:eastAsia="Times New Roman" w:cs="Arial"/>
          </w:rPr>
          <w:t>http://www.ftc.gov/bcp/edu/microsites/idtheft/</w:t>
        </w:r>
      </w:hyperlink>
      <w:r>
        <w:rPr>
          <w:rFonts w:eastAsia="Times New Roman" w:cs="Arial"/>
        </w:rPr>
        <w:t xml:space="preserve"> </w:t>
      </w:r>
    </w:p>
    <w:p w:rsidR="005B3B8F" w:rsidRPr="005B3B8F" w:rsidRDefault="005B3B8F" w:rsidP="005B3B8F">
      <w:pPr>
        <w:spacing w:after="0" w:line="240" w:lineRule="auto"/>
        <w:rPr>
          <w:rFonts w:eastAsia="Times New Roman" w:cs="Arial"/>
        </w:rPr>
      </w:pPr>
    </w:p>
    <w:sectPr w:rsidR="005B3B8F" w:rsidRPr="005B3B8F" w:rsidSect="00C3530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967F4"/>
    <w:multiLevelType w:val="hybridMultilevel"/>
    <w:tmpl w:val="F0BAB28E"/>
    <w:lvl w:ilvl="0" w:tplc="DBBE830C">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F0A6E"/>
    <w:multiLevelType w:val="multilevel"/>
    <w:tmpl w:val="A72A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7F74B1"/>
    <w:multiLevelType w:val="hybridMultilevel"/>
    <w:tmpl w:val="14709276"/>
    <w:lvl w:ilvl="0" w:tplc="D4345486">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
    <w:nsid w:val="381B12D9"/>
    <w:multiLevelType w:val="multilevel"/>
    <w:tmpl w:val="6EE6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C91BCF"/>
    <w:multiLevelType w:val="multilevel"/>
    <w:tmpl w:val="F6AE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9C1740"/>
    <w:multiLevelType w:val="hybridMultilevel"/>
    <w:tmpl w:val="C67627E0"/>
    <w:lvl w:ilvl="0" w:tplc="AED6DA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B8F"/>
    <w:rsid w:val="0010735A"/>
    <w:rsid w:val="002015ED"/>
    <w:rsid w:val="00232EE4"/>
    <w:rsid w:val="002E4FD1"/>
    <w:rsid w:val="00461E42"/>
    <w:rsid w:val="004D15A2"/>
    <w:rsid w:val="005B3B8F"/>
    <w:rsid w:val="005C0463"/>
    <w:rsid w:val="00681C5D"/>
    <w:rsid w:val="008D4EDA"/>
    <w:rsid w:val="00A04B1C"/>
    <w:rsid w:val="00AA312A"/>
    <w:rsid w:val="00AF26FA"/>
    <w:rsid w:val="00C35302"/>
    <w:rsid w:val="00C57CAA"/>
    <w:rsid w:val="00D362AF"/>
    <w:rsid w:val="00D61C81"/>
    <w:rsid w:val="00E7498D"/>
    <w:rsid w:val="00F80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E126E-BB64-4AA4-8B14-FE7D733F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B3B8F"/>
    <w:pPr>
      <w:spacing w:after="30" w:line="240" w:lineRule="auto"/>
      <w:outlineLvl w:val="1"/>
    </w:pPr>
    <w:rPr>
      <w:rFonts w:ascii="Times New Roman" w:eastAsia="Times New Roman" w:hAnsi="Times New Roman" w:cs="Times New Roman"/>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B8F"/>
    <w:pPr>
      <w:ind w:left="720"/>
      <w:contextualSpacing/>
    </w:pPr>
  </w:style>
  <w:style w:type="character" w:customStyle="1" w:styleId="Heading2Char">
    <w:name w:val="Heading 2 Char"/>
    <w:basedOn w:val="DefaultParagraphFont"/>
    <w:link w:val="Heading2"/>
    <w:uiPriority w:val="9"/>
    <w:rsid w:val="005B3B8F"/>
    <w:rPr>
      <w:rFonts w:ascii="Times New Roman" w:eastAsia="Times New Roman" w:hAnsi="Times New Roman" w:cs="Times New Roman"/>
      <w:sz w:val="30"/>
      <w:szCs w:val="30"/>
    </w:rPr>
  </w:style>
  <w:style w:type="character" w:styleId="Hyperlink">
    <w:name w:val="Hyperlink"/>
    <w:basedOn w:val="DefaultParagraphFont"/>
    <w:uiPriority w:val="99"/>
    <w:unhideWhenUsed/>
    <w:rsid w:val="005B3B8F"/>
    <w:rPr>
      <w:color w:val="333333"/>
      <w:u w:val="single"/>
    </w:rPr>
  </w:style>
  <w:style w:type="paragraph" w:styleId="NormalWeb">
    <w:name w:val="Normal (Web)"/>
    <w:basedOn w:val="Normal"/>
    <w:uiPriority w:val="99"/>
    <w:semiHidden/>
    <w:unhideWhenUsed/>
    <w:rsid w:val="005B3B8F"/>
    <w:pPr>
      <w:spacing w:after="150" w:line="240" w:lineRule="auto"/>
    </w:pPr>
    <w:rPr>
      <w:rFonts w:ascii="Times New Roman" w:eastAsia="Times New Roman" w:hAnsi="Times New Roman" w:cs="Times New Roman"/>
      <w:sz w:val="24"/>
      <w:szCs w:val="24"/>
    </w:rPr>
  </w:style>
  <w:style w:type="paragraph" w:customStyle="1" w:styleId="sofcbody">
    <w:name w:val="sofcbody"/>
    <w:basedOn w:val="Normal"/>
    <w:rsid w:val="005B3B8F"/>
    <w:pPr>
      <w:spacing w:after="150" w:line="240" w:lineRule="auto"/>
    </w:pPr>
    <w:rPr>
      <w:rFonts w:ascii="Times New Roman" w:eastAsia="Times New Roman" w:hAnsi="Times New Roman" w:cs="Times New Roman"/>
      <w:sz w:val="24"/>
      <w:szCs w:val="24"/>
    </w:rPr>
  </w:style>
  <w:style w:type="character" w:customStyle="1" w:styleId="sofcbody1">
    <w:name w:val="sofcbody1"/>
    <w:basedOn w:val="DefaultParagraphFont"/>
    <w:rsid w:val="005B3B8F"/>
  </w:style>
  <w:style w:type="table" w:styleId="TableGrid">
    <w:name w:val="Table Grid"/>
    <w:basedOn w:val="TableNormal"/>
    <w:uiPriority w:val="59"/>
    <w:rsid w:val="00C353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2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6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5313">
      <w:bodyDiv w:val="1"/>
      <w:marLeft w:val="0"/>
      <w:marRight w:val="0"/>
      <w:marTop w:val="0"/>
      <w:marBottom w:val="0"/>
      <w:divBdr>
        <w:top w:val="none" w:sz="0" w:space="0" w:color="auto"/>
        <w:left w:val="none" w:sz="0" w:space="0" w:color="auto"/>
        <w:bottom w:val="none" w:sz="0" w:space="0" w:color="auto"/>
        <w:right w:val="none" w:sz="0" w:space="0" w:color="auto"/>
      </w:divBdr>
      <w:divsChild>
        <w:div w:id="1509980275">
          <w:marLeft w:val="0"/>
          <w:marRight w:val="0"/>
          <w:marTop w:val="0"/>
          <w:marBottom w:val="0"/>
          <w:divBdr>
            <w:top w:val="none" w:sz="0" w:space="0" w:color="auto"/>
            <w:left w:val="none" w:sz="0" w:space="0" w:color="auto"/>
            <w:bottom w:val="none" w:sz="0" w:space="0" w:color="auto"/>
            <w:right w:val="none" w:sz="0" w:space="0" w:color="auto"/>
          </w:divBdr>
          <w:divsChild>
            <w:div w:id="80878296">
              <w:marLeft w:val="0"/>
              <w:marRight w:val="0"/>
              <w:marTop w:val="0"/>
              <w:marBottom w:val="0"/>
              <w:divBdr>
                <w:top w:val="none" w:sz="0" w:space="0" w:color="auto"/>
                <w:left w:val="none" w:sz="0" w:space="0" w:color="auto"/>
                <w:bottom w:val="none" w:sz="0" w:space="0" w:color="auto"/>
                <w:right w:val="none" w:sz="0" w:space="0" w:color="auto"/>
              </w:divBdr>
              <w:divsChild>
                <w:div w:id="64035021">
                  <w:marLeft w:val="0"/>
                  <w:marRight w:val="0"/>
                  <w:marTop w:val="0"/>
                  <w:marBottom w:val="0"/>
                  <w:divBdr>
                    <w:top w:val="none" w:sz="0" w:space="0" w:color="auto"/>
                    <w:left w:val="none" w:sz="0" w:space="0" w:color="auto"/>
                    <w:bottom w:val="none" w:sz="0" w:space="0" w:color="auto"/>
                    <w:right w:val="none" w:sz="0" w:space="0" w:color="auto"/>
                  </w:divBdr>
                  <w:divsChild>
                    <w:div w:id="2037344590">
                      <w:marLeft w:val="0"/>
                      <w:marRight w:val="0"/>
                      <w:marTop w:val="0"/>
                      <w:marBottom w:val="0"/>
                      <w:divBdr>
                        <w:top w:val="none" w:sz="0" w:space="0" w:color="auto"/>
                        <w:left w:val="none" w:sz="0" w:space="0" w:color="auto"/>
                        <w:bottom w:val="none" w:sz="0" w:space="0" w:color="auto"/>
                        <w:right w:val="none" w:sz="0" w:space="0" w:color="auto"/>
                      </w:divBdr>
                      <w:divsChild>
                        <w:div w:id="303699379">
                          <w:marLeft w:val="0"/>
                          <w:marRight w:val="0"/>
                          <w:marTop w:val="0"/>
                          <w:marBottom w:val="0"/>
                          <w:divBdr>
                            <w:top w:val="none" w:sz="0" w:space="0" w:color="auto"/>
                            <w:left w:val="none" w:sz="0" w:space="0" w:color="auto"/>
                            <w:bottom w:val="none" w:sz="0" w:space="0" w:color="auto"/>
                            <w:right w:val="none" w:sz="0" w:space="0" w:color="auto"/>
                          </w:divBdr>
                          <w:divsChild>
                            <w:div w:id="397628329">
                              <w:marLeft w:val="0"/>
                              <w:marRight w:val="0"/>
                              <w:marTop w:val="0"/>
                              <w:marBottom w:val="0"/>
                              <w:divBdr>
                                <w:top w:val="none" w:sz="0" w:space="0" w:color="auto"/>
                                <w:left w:val="none" w:sz="0" w:space="0" w:color="auto"/>
                                <w:bottom w:val="none" w:sz="0" w:space="0" w:color="auto"/>
                                <w:right w:val="none" w:sz="0" w:space="0" w:color="auto"/>
                              </w:divBdr>
                              <w:divsChild>
                                <w:div w:id="489711797">
                                  <w:marLeft w:val="150"/>
                                  <w:marRight w:val="150"/>
                                  <w:marTop w:val="0"/>
                                  <w:marBottom w:val="0"/>
                                  <w:divBdr>
                                    <w:top w:val="none" w:sz="0" w:space="0" w:color="auto"/>
                                    <w:left w:val="none" w:sz="0" w:space="0" w:color="auto"/>
                                    <w:bottom w:val="none" w:sz="0" w:space="0" w:color="auto"/>
                                    <w:right w:val="none" w:sz="0" w:space="0" w:color="auto"/>
                                  </w:divBdr>
                                  <w:divsChild>
                                    <w:div w:id="1133210432">
                                      <w:marLeft w:val="0"/>
                                      <w:marRight w:val="0"/>
                                      <w:marTop w:val="0"/>
                                      <w:marBottom w:val="0"/>
                                      <w:divBdr>
                                        <w:top w:val="none" w:sz="0" w:space="0" w:color="auto"/>
                                        <w:left w:val="none" w:sz="0" w:space="0" w:color="auto"/>
                                        <w:bottom w:val="none" w:sz="0" w:space="0" w:color="auto"/>
                                        <w:right w:val="none" w:sz="0" w:space="0" w:color="auto"/>
                                      </w:divBdr>
                                      <w:divsChild>
                                        <w:div w:id="1240090998">
                                          <w:marLeft w:val="0"/>
                                          <w:marRight w:val="0"/>
                                          <w:marTop w:val="0"/>
                                          <w:marBottom w:val="0"/>
                                          <w:divBdr>
                                            <w:top w:val="none" w:sz="0" w:space="0" w:color="auto"/>
                                            <w:left w:val="none" w:sz="0" w:space="0" w:color="auto"/>
                                            <w:bottom w:val="none" w:sz="0" w:space="0" w:color="auto"/>
                                            <w:right w:val="none" w:sz="0" w:space="0" w:color="auto"/>
                                          </w:divBdr>
                                          <w:divsChild>
                                            <w:div w:id="20636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07537">
      <w:bodyDiv w:val="1"/>
      <w:marLeft w:val="0"/>
      <w:marRight w:val="0"/>
      <w:marTop w:val="0"/>
      <w:marBottom w:val="0"/>
      <w:divBdr>
        <w:top w:val="none" w:sz="0" w:space="0" w:color="auto"/>
        <w:left w:val="none" w:sz="0" w:space="0" w:color="auto"/>
        <w:bottom w:val="none" w:sz="0" w:space="0" w:color="auto"/>
        <w:right w:val="none" w:sz="0" w:space="0" w:color="auto"/>
      </w:divBdr>
      <w:divsChild>
        <w:div w:id="1124160184">
          <w:marLeft w:val="0"/>
          <w:marRight w:val="0"/>
          <w:marTop w:val="0"/>
          <w:marBottom w:val="0"/>
          <w:divBdr>
            <w:top w:val="none" w:sz="0" w:space="0" w:color="auto"/>
            <w:left w:val="none" w:sz="0" w:space="0" w:color="auto"/>
            <w:bottom w:val="none" w:sz="0" w:space="0" w:color="auto"/>
            <w:right w:val="none" w:sz="0" w:space="0" w:color="auto"/>
          </w:divBdr>
          <w:divsChild>
            <w:div w:id="1103182730">
              <w:marLeft w:val="0"/>
              <w:marRight w:val="0"/>
              <w:marTop w:val="0"/>
              <w:marBottom w:val="0"/>
              <w:divBdr>
                <w:top w:val="none" w:sz="0" w:space="0" w:color="auto"/>
                <w:left w:val="none" w:sz="0" w:space="0" w:color="auto"/>
                <w:bottom w:val="none" w:sz="0" w:space="0" w:color="auto"/>
                <w:right w:val="none" w:sz="0" w:space="0" w:color="auto"/>
              </w:divBdr>
              <w:divsChild>
                <w:div w:id="1383560362">
                  <w:marLeft w:val="0"/>
                  <w:marRight w:val="0"/>
                  <w:marTop w:val="0"/>
                  <w:marBottom w:val="0"/>
                  <w:divBdr>
                    <w:top w:val="none" w:sz="0" w:space="0" w:color="auto"/>
                    <w:left w:val="none" w:sz="0" w:space="0" w:color="auto"/>
                    <w:bottom w:val="none" w:sz="0" w:space="0" w:color="auto"/>
                    <w:right w:val="none" w:sz="0" w:space="0" w:color="auto"/>
                  </w:divBdr>
                  <w:divsChild>
                    <w:div w:id="1208222682">
                      <w:marLeft w:val="0"/>
                      <w:marRight w:val="0"/>
                      <w:marTop w:val="0"/>
                      <w:marBottom w:val="0"/>
                      <w:divBdr>
                        <w:top w:val="none" w:sz="0" w:space="0" w:color="auto"/>
                        <w:left w:val="none" w:sz="0" w:space="0" w:color="auto"/>
                        <w:bottom w:val="none" w:sz="0" w:space="0" w:color="auto"/>
                        <w:right w:val="none" w:sz="0" w:space="0" w:color="auto"/>
                      </w:divBdr>
                      <w:divsChild>
                        <w:div w:id="575358639">
                          <w:marLeft w:val="0"/>
                          <w:marRight w:val="0"/>
                          <w:marTop w:val="0"/>
                          <w:marBottom w:val="0"/>
                          <w:divBdr>
                            <w:top w:val="none" w:sz="0" w:space="0" w:color="auto"/>
                            <w:left w:val="none" w:sz="0" w:space="0" w:color="auto"/>
                            <w:bottom w:val="none" w:sz="0" w:space="0" w:color="auto"/>
                            <w:right w:val="none" w:sz="0" w:space="0" w:color="auto"/>
                          </w:divBdr>
                          <w:divsChild>
                            <w:div w:id="129058942">
                              <w:marLeft w:val="0"/>
                              <w:marRight w:val="0"/>
                              <w:marTop w:val="0"/>
                              <w:marBottom w:val="0"/>
                              <w:divBdr>
                                <w:top w:val="none" w:sz="0" w:space="0" w:color="auto"/>
                                <w:left w:val="none" w:sz="0" w:space="0" w:color="auto"/>
                                <w:bottom w:val="none" w:sz="0" w:space="0" w:color="auto"/>
                                <w:right w:val="none" w:sz="0" w:space="0" w:color="auto"/>
                              </w:divBdr>
                              <w:divsChild>
                                <w:div w:id="1567762508">
                                  <w:marLeft w:val="150"/>
                                  <w:marRight w:val="150"/>
                                  <w:marTop w:val="0"/>
                                  <w:marBottom w:val="0"/>
                                  <w:divBdr>
                                    <w:top w:val="none" w:sz="0" w:space="0" w:color="auto"/>
                                    <w:left w:val="none" w:sz="0" w:space="0" w:color="auto"/>
                                    <w:bottom w:val="none" w:sz="0" w:space="0" w:color="auto"/>
                                    <w:right w:val="none" w:sz="0" w:space="0" w:color="auto"/>
                                  </w:divBdr>
                                  <w:divsChild>
                                    <w:div w:id="1960917832">
                                      <w:marLeft w:val="0"/>
                                      <w:marRight w:val="0"/>
                                      <w:marTop w:val="0"/>
                                      <w:marBottom w:val="0"/>
                                      <w:divBdr>
                                        <w:top w:val="none" w:sz="0" w:space="0" w:color="auto"/>
                                        <w:left w:val="none" w:sz="0" w:space="0" w:color="auto"/>
                                        <w:bottom w:val="none" w:sz="0" w:space="0" w:color="auto"/>
                                        <w:right w:val="none" w:sz="0" w:space="0" w:color="auto"/>
                                      </w:divBdr>
                                      <w:divsChild>
                                        <w:div w:id="573708283">
                                          <w:marLeft w:val="0"/>
                                          <w:marRight w:val="0"/>
                                          <w:marTop w:val="0"/>
                                          <w:marBottom w:val="0"/>
                                          <w:divBdr>
                                            <w:top w:val="none" w:sz="0" w:space="0" w:color="auto"/>
                                            <w:left w:val="none" w:sz="0" w:space="0" w:color="auto"/>
                                            <w:bottom w:val="none" w:sz="0" w:space="0" w:color="auto"/>
                                            <w:right w:val="none" w:sz="0" w:space="0" w:color="auto"/>
                                          </w:divBdr>
                                          <w:divsChild>
                                            <w:div w:id="239216133">
                                              <w:marLeft w:val="0"/>
                                              <w:marRight w:val="0"/>
                                              <w:marTop w:val="0"/>
                                              <w:marBottom w:val="0"/>
                                              <w:divBdr>
                                                <w:top w:val="none" w:sz="0" w:space="0" w:color="auto"/>
                                                <w:left w:val="none" w:sz="0" w:space="0" w:color="auto"/>
                                                <w:bottom w:val="none" w:sz="0" w:space="0" w:color="auto"/>
                                                <w:right w:val="none" w:sz="0" w:space="0" w:color="auto"/>
                                              </w:divBdr>
                                              <w:divsChild>
                                                <w:div w:id="2129472617">
                                                  <w:blockQuote w:val="1"/>
                                                  <w:marLeft w:val="240"/>
                                                  <w:marRight w:val="240"/>
                                                  <w:marTop w:val="120"/>
                                                  <w:marBottom w:val="120"/>
                                                  <w:divBdr>
                                                    <w:top w:val="none" w:sz="0" w:space="0" w:color="auto"/>
                                                    <w:left w:val="none" w:sz="0" w:space="0" w:color="auto"/>
                                                    <w:bottom w:val="none" w:sz="0" w:space="0" w:color="auto"/>
                                                    <w:right w:val="none" w:sz="0" w:space="0" w:color="auto"/>
                                                  </w:divBdr>
                                                </w:div>
                                                <w:div w:id="1494755919">
                                                  <w:blockQuote w:val="1"/>
                                                  <w:marLeft w:val="240"/>
                                                  <w:marRight w:val="240"/>
                                                  <w:marTop w:val="120"/>
                                                  <w:marBottom w:val="120"/>
                                                  <w:divBdr>
                                                    <w:top w:val="none" w:sz="0" w:space="0" w:color="auto"/>
                                                    <w:left w:val="none" w:sz="0" w:space="0" w:color="auto"/>
                                                    <w:bottom w:val="none" w:sz="0" w:space="0" w:color="auto"/>
                                                    <w:right w:val="none" w:sz="0" w:space="0" w:color="auto"/>
                                                  </w:divBdr>
                                                </w:div>
                                                <w:div w:id="2113087553">
                                                  <w:blockQuote w:val="1"/>
                                                  <w:marLeft w:val="240"/>
                                                  <w:marRight w:val="240"/>
                                                  <w:marTop w:val="120"/>
                                                  <w:marBottom w:val="120"/>
                                                  <w:divBdr>
                                                    <w:top w:val="none" w:sz="0" w:space="0" w:color="auto"/>
                                                    <w:left w:val="none" w:sz="0" w:space="0" w:color="auto"/>
                                                    <w:bottom w:val="none" w:sz="0" w:space="0" w:color="auto"/>
                                                    <w:right w:val="none" w:sz="0" w:space="0" w:color="auto"/>
                                                  </w:divBdr>
                                                </w:div>
                                                <w:div w:id="1432969679">
                                                  <w:blockQuote w:val="1"/>
                                                  <w:marLeft w:val="240"/>
                                                  <w:marRight w:val="240"/>
                                                  <w:marTop w:val="120"/>
                                                  <w:marBottom w:val="120"/>
                                                  <w:divBdr>
                                                    <w:top w:val="none" w:sz="0" w:space="0" w:color="auto"/>
                                                    <w:left w:val="none" w:sz="0" w:space="0" w:color="auto"/>
                                                    <w:bottom w:val="none" w:sz="0" w:space="0" w:color="auto"/>
                                                    <w:right w:val="none" w:sz="0" w:space="0" w:color="auto"/>
                                                  </w:divBdr>
                                                </w:div>
                                                <w:div w:id="1939677400">
                                                  <w:blockQuote w:val="1"/>
                                                  <w:marLeft w:val="240"/>
                                                  <w:marRight w:val="240"/>
                                                  <w:marTop w:val="120"/>
                                                  <w:marBottom w:val="120"/>
                                                  <w:divBdr>
                                                    <w:top w:val="none" w:sz="0" w:space="0" w:color="auto"/>
                                                    <w:left w:val="none" w:sz="0" w:space="0" w:color="auto"/>
                                                    <w:bottom w:val="none" w:sz="0" w:space="0" w:color="auto"/>
                                                    <w:right w:val="none" w:sz="0" w:space="0" w:color="auto"/>
                                                  </w:divBdr>
                                                </w:div>
                                                <w:div w:id="1351881196">
                                                  <w:blockQuote w:val="1"/>
                                                  <w:marLeft w:val="240"/>
                                                  <w:marRight w:val="240"/>
                                                  <w:marTop w:val="120"/>
                                                  <w:marBottom w:val="120"/>
                                                  <w:divBdr>
                                                    <w:top w:val="none" w:sz="0" w:space="0" w:color="auto"/>
                                                    <w:left w:val="none" w:sz="0" w:space="0" w:color="auto"/>
                                                    <w:bottom w:val="none" w:sz="0" w:space="0" w:color="auto"/>
                                                    <w:right w:val="none" w:sz="0" w:space="0" w:color="auto"/>
                                                  </w:divBdr>
                                                </w:div>
                                                <w:div w:id="654455722">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c.gov/bcp/edu/microsites/idtheft/" TargetMode="External"/><Relationship Id="rId3" Type="http://schemas.openxmlformats.org/officeDocument/2006/relationships/styles" Target="styles.xml"/><Relationship Id="rId7" Type="http://schemas.openxmlformats.org/officeDocument/2006/relationships/hyperlink" Target="http://www.vpsa.txstate.edu/moneysavv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neyinstructor.com/art/balancing.as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A5234-050A-440A-B965-082D3FEAD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caso</dc:creator>
  <cp:lastModifiedBy>DeSalvo, Cody Lee</cp:lastModifiedBy>
  <cp:revision>2</cp:revision>
  <dcterms:created xsi:type="dcterms:W3CDTF">2013-11-21T17:57:00Z</dcterms:created>
  <dcterms:modified xsi:type="dcterms:W3CDTF">2013-11-21T17:57:00Z</dcterms:modified>
</cp:coreProperties>
</file>