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110D" w14:textId="77777777" w:rsidR="00982E6A" w:rsidRDefault="00982E6A" w:rsidP="0009665A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957004A" w14:textId="77777777" w:rsidR="00982E6A" w:rsidRDefault="00982E6A" w:rsidP="0009665A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0D4BC31A" w14:textId="77777777" w:rsidR="00982E6A" w:rsidRDefault="00982E6A" w:rsidP="0009665A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</w:p>
    <w:p w14:paraId="786046A6" w14:textId="69B2D96B" w:rsidR="004D0399" w:rsidRPr="0009665A" w:rsidRDefault="003C590C" w:rsidP="0009665A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09665A">
        <w:rPr>
          <w:rFonts w:ascii="Arial" w:eastAsia="Times New Roman" w:hAnsi="Arial" w:cs="Arial"/>
          <w:b/>
          <w:kern w:val="36"/>
          <w:sz w:val="24"/>
          <w:szCs w:val="24"/>
        </w:rPr>
        <w:t xml:space="preserve">Reimbursement </w:t>
      </w:r>
      <w:r w:rsidR="008C7A17" w:rsidRPr="0009665A">
        <w:rPr>
          <w:rFonts w:ascii="Arial" w:eastAsia="Times New Roman" w:hAnsi="Arial" w:cs="Arial"/>
          <w:b/>
          <w:kern w:val="36"/>
          <w:sz w:val="24"/>
          <w:szCs w:val="24"/>
        </w:rPr>
        <w:t>of University Business</w:t>
      </w:r>
      <w:r w:rsidR="004D0399" w:rsidRPr="0009665A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CC1ED3" w:rsidRPr="0009665A">
        <w:rPr>
          <w:rFonts w:ascii="Arial" w:eastAsia="Times New Roman" w:hAnsi="Arial" w:cs="Arial"/>
          <w:b/>
          <w:kern w:val="36"/>
          <w:sz w:val="24"/>
          <w:szCs w:val="24"/>
        </w:rPr>
        <w:t>FSS/PPS No. 03.16</w:t>
      </w:r>
      <w:r w:rsidR="00D52E21">
        <w:rPr>
          <w:rFonts w:ascii="Arial" w:eastAsia="Times New Roman" w:hAnsi="Arial" w:cs="Arial"/>
          <w:b/>
          <w:kern w:val="36"/>
          <w:sz w:val="24"/>
          <w:szCs w:val="24"/>
        </w:rPr>
        <w:t xml:space="preserve"> (03.05.01)</w:t>
      </w:r>
    </w:p>
    <w:p w14:paraId="67A70B90" w14:textId="46750921" w:rsidR="003C590C" w:rsidRPr="0009665A" w:rsidRDefault="008C7A17" w:rsidP="0009665A">
      <w:pPr>
        <w:tabs>
          <w:tab w:val="left" w:pos="5040"/>
        </w:tabs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09665A">
        <w:rPr>
          <w:rFonts w:ascii="Arial" w:eastAsia="Times New Roman" w:hAnsi="Arial" w:cs="Arial"/>
          <w:b/>
          <w:kern w:val="36"/>
          <w:sz w:val="24"/>
          <w:szCs w:val="24"/>
        </w:rPr>
        <w:t>Expenses Paid from Personal Funds</w:t>
      </w:r>
      <w:r w:rsidR="00A44411">
        <w:rPr>
          <w:rFonts w:ascii="Arial" w:eastAsia="Times New Roman" w:hAnsi="Arial" w:cs="Arial"/>
          <w:b/>
          <w:kern w:val="36"/>
          <w:sz w:val="24"/>
          <w:szCs w:val="24"/>
        </w:rPr>
        <w:tab/>
      </w:r>
      <w:r w:rsidR="004D0399" w:rsidRPr="0009665A">
        <w:rPr>
          <w:rFonts w:ascii="Arial" w:eastAsia="Times New Roman" w:hAnsi="Arial" w:cs="Arial"/>
          <w:b/>
          <w:kern w:val="36"/>
          <w:sz w:val="24"/>
          <w:szCs w:val="24"/>
        </w:rPr>
        <w:t xml:space="preserve">Issue No. </w:t>
      </w:r>
      <w:r w:rsidR="00CE4844">
        <w:rPr>
          <w:rFonts w:ascii="Arial" w:eastAsia="Times New Roman" w:hAnsi="Arial" w:cs="Arial"/>
          <w:b/>
          <w:kern w:val="36"/>
          <w:sz w:val="24"/>
          <w:szCs w:val="24"/>
        </w:rPr>
        <w:t>6</w:t>
      </w:r>
    </w:p>
    <w:p w14:paraId="0E737446" w14:textId="324A9055" w:rsidR="004D0399" w:rsidRPr="0009665A" w:rsidRDefault="00984E15" w:rsidP="0009665A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>Effective Date</w:t>
      </w:r>
      <w:r w:rsidR="00892A2D" w:rsidRPr="0009665A">
        <w:rPr>
          <w:rFonts w:ascii="Arial" w:eastAsia="Times New Roman" w:hAnsi="Arial" w:cs="Arial"/>
          <w:b/>
          <w:sz w:val="24"/>
          <w:szCs w:val="24"/>
        </w:rPr>
        <w:t xml:space="preserve">: </w:t>
      </w:r>
      <w:r w:rsidR="00A44411">
        <w:rPr>
          <w:rFonts w:ascii="Arial" w:eastAsia="Times New Roman" w:hAnsi="Arial" w:cs="Arial"/>
          <w:b/>
          <w:sz w:val="24"/>
          <w:szCs w:val="24"/>
        </w:rPr>
        <w:t>11</w:t>
      </w:r>
      <w:r w:rsidR="00CE4844">
        <w:rPr>
          <w:rFonts w:ascii="Arial" w:eastAsia="Times New Roman" w:hAnsi="Arial" w:cs="Arial"/>
          <w:b/>
          <w:sz w:val="24"/>
          <w:szCs w:val="24"/>
        </w:rPr>
        <w:t>/</w:t>
      </w:r>
      <w:r w:rsidR="00A44411">
        <w:rPr>
          <w:rFonts w:ascii="Arial" w:eastAsia="Times New Roman" w:hAnsi="Arial" w:cs="Arial"/>
          <w:b/>
          <w:sz w:val="24"/>
          <w:szCs w:val="24"/>
        </w:rPr>
        <w:t>06</w:t>
      </w:r>
      <w:r w:rsidR="00CE4844">
        <w:rPr>
          <w:rFonts w:ascii="Arial" w:eastAsia="Times New Roman" w:hAnsi="Arial" w:cs="Arial"/>
          <w:b/>
          <w:sz w:val="24"/>
          <w:szCs w:val="24"/>
        </w:rPr>
        <w:t>/2019</w:t>
      </w:r>
    </w:p>
    <w:p w14:paraId="7E40568D" w14:textId="1C41D8B1" w:rsidR="00984E15" w:rsidRPr="0009665A" w:rsidRDefault="00984E15" w:rsidP="0009665A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>Next Review Date: 03/01/202</w:t>
      </w:r>
      <w:r w:rsidR="00CE4844">
        <w:rPr>
          <w:rFonts w:ascii="Arial" w:eastAsia="Times New Roman" w:hAnsi="Arial" w:cs="Arial"/>
          <w:b/>
          <w:sz w:val="24"/>
          <w:szCs w:val="24"/>
        </w:rPr>
        <w:t>3</w:t>
      </w:r>
      <w:r w:rsidR="0009665A">
        <w:rPr>
          <w:rFonts w:ascii="Arial" w:eastAsia="Times New Roman" w:hAnsi="Arial" w:cs="Arial"/>
          <w:b/>
          <w:sz w:val="24"/>
          <w:szCs w:val="24"/>
        </w:rPr>
        <w:t xml:space="preserve"> (E4Y)</w:t>
      </w:r>
    </w:p>
    <w:p w14:paraId="0545571D" w14:textId="77777777" w:rsidR="003C590C" w:rsidRDefault="0009665A" w:rsidP="0009665A">
      <w:pPr>
        <w:tabs>
          <w:tab w:val="left" w:pos="5760"/>
        </w:tabs>
        <w:spacing w:after="0" w:line="240" w:lineRule="auto"/>
        <w:ind w:left="504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Senior</w:t>
      </w:r>
      <w:r w:rsidR="004D0399" w:rsidRPr="0009665A">
        <w:rPr>
          <w:rFonts w:ascii="Arial" w:eastAsia="Times New Roman" w:hAnsi="Arial" w:cs="Arial"/>
          <w:b/>
          <w:sz w:val="24"/>
          <w:szCs w:val="24"/>
        </w:rPr>
        <w:t xml:space="preserve"> Reviewer: Director of Accounting</w:t>
      </w:r>
    </w:p>
    <w:p w14:paraId="398187C8" w14:textId="77777777" w:rsidR="00A44411" w:rsidRDefault="00A44411" w:rsidP="004D039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38B0898" w14:textId="718FECEF" w:rsidR="00510263" w:rsidRPr="0009665A" w:rsidRDefault="004D0399" w:rsidP="004D0399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ab/>
      </w:r>
    </w:p>
    <w:p w14:paraId="77D57A38" w14:textId="61409F33" w:rsidR="003C590C" w:rsidRPr="0009665A" w:rsidRDefault="006B52F2" w:rsidP="005102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>01.</w:t>
      </w:r>
      <w:r w:rsidRPr="0009665A">
        <w:rPr>
          <w:rFonts w:ascii="Arial" w:eastAsia="Times New Roman" w:hAnsi="Arial" w:cs="Arial"/>
          <w:b/>
          <w:sz w:val="24"/>
          <w:szCs w:val="24"/>
        </w:rPr>
        <w:tab/>
      </w:r>
      <w:r w:rsidR="003C590C" w:rsidRPr="0009665A">
        <w:rPr>
          <w:rFonts w:ascii="Arial" w:eastAsia="Times New Roman" w:hAnsi="Arial" w:cs="Arial"/>
          <w:b/>
          <w:sz w:val="24"/>
          <w:szCs w:val="24"/>
        </w:rPr>
        <w:t>P</w:t>
      </w:r>
      <w:r w:rsidR="007D5176">
        <w:rPr>
          <w:rFonts w:ascii="Arial" w:eastAsia="Times New Roman" w:hAnsi="Arial" w:cs="Arial"/>
          <w:b/>
          <w:sz w:val="24"/>
          <w:szCs w:val="24"/>
        </w:rPr>
        <w:t>OLICY STATEMENTS</w:t>
      </w:r>
    </w:p>
    <w:p w14:paraId="53BEAFBA" w14:textId="77777777" w:rsidR="00510263" w:rsidRPr="0009665A" w:rsidRDefault="00510263" w:rsidP="0051026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0C7A9E2" w14:textId="481AB268" w:rsidR="003C590C" w:rsidRPr="007D5176" w:rsidRDefault="003C590C" w:rsidP="007D5176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 xml:space="preserve">01.01 </w:t>
      </w:r>
      <w:r w:rsidR="006B52F2" w:rsidRPr="0009665A">
        <w:rPr>
          <w:rFonts w:ascii="Arial" w:eastAsia="Times New Roman" w:hAnsi="Arial" w:cs="Arial"/>
          <w:sz w:val="24"/>
          <w:szCs w:val="24"/>
        </w:rPr>
        <w:tab/>
      </w:r>
      <w:r w:rsidR="0038093E" w:rsidRPr="0009665A">
        <w:rPr>
          <w:rFonts w:ascii="Arial" w:eastAsia="Times New Roman" w:hAnsi="Arial" w:cs="Arial"/>
          <w:sz w:val="24"/>
          <w:szCs w:val="24"/>
        </w:rPr>
        <w:t>T</w:t>
      </w:r>
      <w:r w:rsidRPr="0009665A">
        <w:rPr>
          <w:rFonts w:ascii="Arial" w:eastAsia="Times New Roman" w:hAnsi="Arial" w:cs="Arial"/>
          <w:sz w:val="24"/>
          <w:szCs w:val="24"/>
        </w:rPr>
        <w:t>his policy establish</w:t>
      </w:r>
      <w:r w:rsidR="00062719" w:rsidRPr="0009665A">
        <w:rPr>
          <w:rFonts w:ascii="Arial" w:eastAsia="Times New Roman" w:hAnsi="Arial" w:cs="Arial"/>
          <w:sz w:val="24"/>
          <w:szCs w:val="24"/>
        </w:rPr>
        <w:t>es</w:t>
      </w:r>
      <w:r w:rsidRPr="0009665A">
        <w:rPr>
          <w:rFonts w:ascii="Arial" w:eastAsia="Times New Roman" w:hAnsi="Arial" w:cs="Arial"/>
          <w:sz w:val="24"/>
          <w:szCs w:val="24"/>
        </w:rPr>
        <w:t xml:space="preserve"> procedures for reimbursements </w:t>
      </w:r>
      <w:r w:rsidR="00B5421F" w:rsidRPr="0009665A">
        <w:rPr>
          <w:rFonts w:ascii="Arial" w:eastAsia="Times New Roman" w:hAnsi="Arial" w:cs="Arial"/>
          <w:sz w:val="24"/>
          <w:szCs w:val="24"/>
        </w:rPr>
        <w:t xml:space="preserve">of </w:t>
      </w:r>
      <w:r w:rsidRPr="0009665A">
        <w:rPr>
          <w:rFonts w:ascii="Arial" w:eastAsia="Times New Roman" w:hAnsi="Arial" w:cs="Arial"/>
          <w:sz w:val="24"/>
          <w:szCs w:val="24"/>
        </w:rPr>
        <w:t xml:space="preserve">personal funds for </w:t>
      </w:r>
      <w:r w:rsidR="00B5421F" w:rsidRPr="0009665A">
        <w:rPr>
          <w:rFonts w:ascii="Arial" w:eastAsia="Times New Roman" w:hAnsi="Arial" w:cs="Arial"/>
          <w:sz w:val="24"/>
          <w:szCs w:val="24"/>
        </w:rPr>
        <w:t>Texas State U</w:t>
      </w:r>
      <w:r w:rsidRPr="0009665A">
        <w:rPr>
          <w:rFonts w:ascii="Arial" w:eastAsia="Times New Roman" w:hAnsi="Arial" w:cs="Arial"/>
          <w:sz w:val="24"/>
          <w:szCs w:val="24"/>
        </w:rPr>
        <w:t>niversity business expenses.</w:t>
      </w:r>
    </w:p>
    <w:p w14:paraId="16CD1C6B" w14:textId="77777777" w:rsidR="00510263" w:rsidRPr="0009665A" w:rsidRDefault="00510263" w:rsidP="00510263">
      <w:pPr>
        <w:spacing w:after="0" w:line="240" w:lineRule="auto"/>
        <w:ind w:left="720" w:hanging="720"/>
        <w:rPr>
          <w:rFonts w:ascii="Arial" w:eastAsia="Times New Roman" w:hAnsi="Arial" w:cs="Arial"/>
          <w:sz w:val="24"/>
          <w:szCs w:val="24"/>
        </w:rPr>
      </w:pPr>
    </w:p>
    <w:p w14:paraId="55C7FC20" w14:textId="1C0247E9" w:rsidR="003C590C" w:rsidRPr="0009665A" w:rsidRDefault="006B52F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062719" w:rsidRPr="0009665A">
        <w:rPr>
          <w:rFonts w:ascii="Arial" w:eastAsia="Times New Roman" w:hAnsi="Arial" w:cs="Arial"/>
          <w:sz w:val="24"/>
          <w:szCs w:val="24"/>
        </w:rPr>
        <w:t>Reimbursements authorized under this policy are nominal in amount, infrequent in occurrence, and the result of extraordinary circumstances which prevented the use of regular purchasing procedures.</w:t>
      </w:r>
    </w:p>
    <w:p w14:paraId="74204DDC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1657E2E4" w14:textId="0BF77110" w:rsidR="003C590C" w:rsidRPr="0009665A" w:rsidRDefault="006B52F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3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FB008A" w:rsidRPr="0009665A">
        <w:rPr>
          <w:rFonts w:ascii="Arial" w:eastAsia="Times New Roman" w:hAnsi="Arial" w:cs="Arial"/>
          <w:sz w:val="24"/>
          <w:szCs w:val="24"/>
        </w:rPr>
        <w:t>R</w:t>
      </w:r>
      <w:r w:rsidR="003C590C" w:rsidRPr="0009665A">
        <w:rPr>
          <w:rFonts w:ascii="Arial" w:eastAsia="Times New Roman" w:hAnsi="Arial" w:cs="Arial"/>
          <w:sz w:val="24"/>
          <w:szCs w:val="24"/>
        </w:rPr>
        <w:t>eimbursement</w:t>
      </w:r>
      <w:r w:rsidR="00FB008A" w:rsidRPr="0009665A">
        <w:rPr>
          <w:rFonts w:ascii="Arial" w:eastAsia="Times New Roman" w:hAnsi="Arial" w:cs="Arial"/>
          <w:sz w:val="24"/>
          <w:szCs w:val="24"/>
        </w:rPr>
        <w:t>s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FB008A" w:rsidRPr="0009665A">
        <w:rPr>
          <w:rFonts w:ascii="Arial" w:eastAsia="Times New Roman" w:hAnsi="Arial" w:cs="Arial"/>
          <w:sz w:val="24"/>
          <w:szCs w:val="24"/>
        </w:rPr>
        <w:t xml:space="preserve">are </w:t>
      </w:r>
      <w:r w:rsidR="003C590C" w:rsidRPr="0009665A">
        <w:rPr>
          <w:rFonts w:ascii="Arial" w:eastAsia="Times New Roman" w:hAnsi="Arial" w:cs="Arial"/>
          <w:sz w:val="24"/>
          <w:szCs w:val="24"/>
        </w:rPr>
        <w:t>made for</w:t>
      </w:r>
      <w:r w:rsidR="00062719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0661BE" w:rsidRPr="0009665A">
        <w:rPr>
          <w:rFonts w:ascii="Arial" w:eastAsia="Times New Roman" w:hAnsi="Arial" w:cs="Arial"/>
          <w:sz w:val="24"/>
          <w:szCs w:val="24"/>
        </w:rPr>
        <w:t xml:space="preserve">an 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expenditure </w:t>
      </w:r>
      <w:r w:rsidR="000661BE" w:rsidRPr="0009665A">
        <w:rPr>
          <w:rFonts w:ascii="Arial" w:eastAsia="Times New Roman" w:hAnsi="Arial" w:cs="Arial"/>
          <w:sz w:val="24"/>
          <w:szCs w:val="24"/>
        </w:rPr>
        <w:t xml:space="preserve">from personal funds only if the expenditure was 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incurred on behalf of Texas State to accomplish activities related to the university's mission. </w:t>
      </w:r>
    </w:p>
    <w:p w14:paraId="44A802F2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C85C7A4" w14:textId="42995116" w:rsidR="003C590C" w:rsidRPr="0009665A" w:rsidRDefault="006B52F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4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Reimbursements </w:t>
      </w:r>
      <w:r w:rsidR="00FB008A" w:rsidRPr="0009665A">
        <w:rPr>
          <w:rFonts w:ascii="Arial" w:eastAsia="Times New Roman" w:hAnsi="Arial" w:cs="Arial"/>
          <w:sz w:val="24"/>
          <w:szCs w:val="24"/>
        </w:rPr>
        <w:t xml:space="preserve">are </w:t>
      </w:r>
      <w:r w:rsidR="000661BE" w:rsidRPr="0009665A">
        <w:rPr>
          <w:rFonts w:ascii="Arial" w:eastAsia="Times New Roman" w:hAnsi="Arial" w:cs="Arial"/>
          <w:sz w:val="24"/>
          <w:szCs w:val="24"/>
        </w:rPr>
        <w:t xml:space="preserve">only </w:t>
      </w:r>
      <w:r w:rsidR="003C590C" w:rsidRPr="0009665A">
        <w:rPr>
          <w:rFonts w:ascii="Arial" w:eastAsia="Times New Roman" w:hAnsi="Arial" w:cs="Arial"/>
          <w:sz w:val="24"/>
          <w:szCs w:val="24"/>
        </w:rPr>
        <w:t>made with</w:t>
      </w:r>
      <w:r w:rsidR="000661BE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adequate documentation. </w:t>
      </w:r>
      <w:r w:rsidR="00083E3A" w:rsidRPr="0009665A">
        <w:rPr>
          <w:rFonts w:ascii="Arial" w:eastAsia="Times New Roman" w:hAnsi="Arial" w:cs="Arial"/>
          <w:sz w:val="24"/>
          <w:szCs w:val="24"/>
        </w:rPr>
        <w:t>Adequate d</w:t>
      </w:r>
      <w:r w:rsidR="003C590C" w:rsidRPr="0009665A">
        <w:rPr>
          <w:rFonts w:ascii="Arial" w:eastAsia="Times New Roman" w:hAnsi="Arial" w:cs="Arial"/>
          <w:sz w:val="24"/>
          <w:szCs w:val="24"/>
        </w:rPr>
        <w:t>ocumentation includes an itemized invoice or comparable item</w:t>
      </w:r>
      <w:r w:rsidR="00963030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3C590C" w:rsidRPr="0009665A">
        <w:rPr>
          <w:rFonts w:ascii="Arial" w:eastAsia="Times New Roman" w:hAnsi="Arial" w:cs="Arial"/>
          <w:sz w:val="24"/>
          <w:szCs w:val="24"/>
        </w:rPr>
        <w:t>from the vendor</w:t>
      </w:r>
      <w:r w:rsidR="007513A3">
        <w:rPr>
          <w:rFonts w:ascii="Arial" w:eastAsia="Times New Roman" w:hAnsi="Arial" w:cs="Arial"/>
          <w:sz w:val="24"/>
          <w:szCs w:val="24"/>
        </w:rPr>
        <w:t xml:space="preserve"> (r</w:t>
      </w:r>
      <w:r w:rsidR="00383050" w:rsidRPr="0009665A">
        <w:rPr>
          <w:rFonts w:ascii="Arial" w:eastAsia="Times New Roman" w:hAnsi="Arial" w:cs="Arial"/>
          <w:sz w:val="24"/>
          <w:szCs w:val="24"/>
        </w:rPr>
        <w:t>efer to Section 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="00383050" w:rsidRPr="0009665A">
        <w:rPr>
          <w:rFonts w:ascii="Arial" w:eastAsia="Times New Roman" w:hAnsi="Arial" w:cs="Arial"/>
          <w:sz w:val="24"/>
          <w:szCs w:val="24"/>
        </w:rPr>
        <w:t>.0</w:t>
      </w:r>
      <w:r w:rsidR="00C263FF" w:rsidRPr="0009665A">
        <w:rPr>
          <w:rFonts w:ascii="Arial" w:eastAsia="Times New Roman" w:hAnsi="Arial" w:cs="Arial"/>
          <w:sz w:val="24"/>
          <w:szCs w:val="24"/>
        </w:rPr>
        <w:t>2</w:t>
      </w:r>
      <w:r w:rsidR="00383050" w:rsidRPr="0009665A">
        <w:rPr>
          <w:rFonts w:ascii="Arial" w:eastAsia="Times New Roman" w:hAnsi="Arial" w:cs="Arial"/>
          <w:sz w:val="24"/>
          <w:szCs w:val="24"/>
        </w:rPr>
        <w:t xml:space="preserve"> for further guidance</w:t>
      </w:r>
      <w:r w:rsidR="007513A3">
        <w:rPr>
          <w:rFonts w:ascii="Arial" w:eastAsia="Times New Roman" w:hAnsi="Arial" w:cs="Arial"/>
          <w:sz w:val="24"/>
          <w:szCs w:val="24"/>
        </w:rPr>
        <w:t>)</w:t>
      </w:r>
      <w:r w:rsidR="00383050" w:rsidRPr="0009665A">
        <w:rPr>
          <w:rFonts w:ascii="Arial" w:eastAsia="Times New Roman" w:hAnsi="Arial" w:cs="Arial"/>
          <w:sz w:val="24"/>
          <w:szCs w:val="24"/>
        </w:rPr>
        <w:t xml:space="preserve">. 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The </w:t>
      </w:r>
      <w:r w:rsidR="007513A3">
        <w:rPr>
          <w:rFonts w:ascii="Arial" w:eastAsia="Times New Roman" w:hAnsi="Arial" w:cs="Arial"/>
          <w:sz w:val="24"/>
          <w:szCs w:val="24"/>
        </w:rPr>
        <w:t>d</w:t>
      </w:r>
      <w:r w:rsidR="003C590C" w:rsidRPr="0009665A">
        <w:rPr>
          <w:rFonts w:ascii="Arial" w:eastAsia="Times New Roman" w:hAnsi="Arial" w:cs="Arial"/>
          <w:sz w:val="24"/>
          <w:szCs w:val="24"/>
        </w:rPr>
        <w:t>irector of Accounting</w:t>
      </w:r>
      <w:r w:rsidR="00383E18">
        <w:rPr>
          <w:rFonts w:ascii="Arial" w:eastAsia="Times New Roman" w:hAnsi="Arial" w:cs="Arial"/>
          <w:sz w:val="24"/>
          <w:szCs w:val="24"/>
        </w:rPr>
        <w:t>,</w:t>
      </w:r>
      <w:r w:rsidR="00062719" w:rsidRPr="0009665A">
        <w:rPr>
          <w:rFonts w:ascii="Arial" w:eastAsia="Times New Roman" w:hAnsi="Arial" w:cs="Arial"/>
          <w:sz w:val="24"/>
          <w:szCs w:val="24"/>
        </w:rPr>
        <w:t xml:space="preserve"> or their </w:t>
      </w:r>
      <w:r w:rsidR="001638EF" w:rsidRPr="0009665A">
        <w:rPr>
          <w:rFonts w:ascii="Arial" w:eastAsia="Times New Roman" w:hAnsi="Arial" w:cs="Arial"/>
          <w:sz w:val="24"/>
          <w:szCs w:val="24"/>
        </w:rPr>
        <w:t>delegate</w:t>
      </w:r>
      <w:r w:rsidR="007D5176">
        <w:rPr>
          <w:rFonts w:ascii="Arial" w:eastAsia="Times New Roman" w:hAnsi="Arial" w:cs="Arial"/>
          <w:sz w:val="24"/>
          <w:szCs w:val="24"/>
        </w:rPr>
        <w:t>,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 is authorized to determine the adequacy of documentation for reimbursement requests. </w:t>
      </w:r>
    </w:p>
    <w:p w14:paraId="3348D497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C1081FF" w14:textId="1FF658B5" w:rsidR="00062719" w:rsidRPr="0009665A" w:rsidRDefault="006B52F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5</w:t>
      </w:r>
      <w:r w:rsidR="00963030" w:rsidRPr="0009665A">
        <w:rPr>
          <w:rFonts w:ascii="Arial" w:eastAsia="Times New Roman" w:hAnsi="Arial" w:cs="Arial"/>
          <w:sz w:val="24"/>
          <w:szCs w:val="24"/>
        </w:rPr>
        <w:tab/>
      </w:r>
      <w:r w:rsidR="00D87340" w:rsidRPr="0009665A">
        <w:rPr>
          <w:rFonts w:ascii="Arial" w:eastAsia="Times New Roman" w:hAnsi="Arial" w:cs="Arial"/>
          <w:sz w:val="24"/>
          <w:szCs w:val="24"/>
        </w:rPr>
        <w:t xml:space="preserve">Allowable reimbursements </w:t>
      </w:r>
      <w:r w:rsidR="003C590C" w:rsidRPr="0009665A">
        <w:rPr>
          <w:rFonts w:ascii="Arial" w:eastAsia="Times New Roman" w:hAnsi="Arial" w:cs="Arial"/>
          <w:sz w:val="24"/>
          <w:szCs w:val="24"/>
        </w:rPr>
        <w:t>include</w:t>
      </w:r>
      <w:r w:rsidR="00BE4382" w:rsidRPr="0009665A">
        <w:rPr>
          <w:rFonts w:ascii="Arial" w:eastAsia="Times New Roman" w:hAnsi="Arial" w:cs="Arial"/>
          <w:sz w:val="24"/>
          <w:szCs w:val="24"/>
        </w:rPr>
        <w:t>, but are not limited to</w:t>
      </w:r>
      <w:r w:rsidR="00BE44C8" w:rsidRPr="0009665A">
        <w:rPr>
          <w:rFonts w:ascii="Arial" w:eastAsia="Times New Roman" w:hAnsi="Arial" w:cs="Arial"/>
          <w:sz w:val="24"/>
          <w:szCs w:val="24"/>
        </w:rPr>
        <w:t>:</w:t>
      </w:r>
      <w:r w:rsidR="00D87340" w:rsidRPr="000966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057BEA5" w14:textId="77777777" w:rsidR="00510263" w:rsidRPr="0009665A" w:rsidRDefault="00510263" w:rsidP="007513A3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14:paraId="7139A3D1" w14:textId="341AE566" w:rsidR="00E43E44" w:rsidRDefault="007513A3" w:rsidP="007513A3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6025AD" w:rsidRPr="0009665A">
        <w:rPr>
          <w:rFonts w:ascii="Arial" w:eastAsia="Times New Roman" w:hAnsi="Arial" w:cs="Arial"/>
          <w:sz w:val="24"/>
          <w:szCs w:val="24"/>
        </w:rPr>
        <w:t>upplie</w:t>
      </w:r>
      <w:r w:rsidR="00062719" w:rsidRPr="0009665A">
        <w:rPr>
          <w:rFonts w:ascii="Arial" w:eastAsia="Times New Roman" w:hAnsi="Arial" w:cs="Arial"/>
          <w:sz w:val="24"/>
          <w:szCs w:val="24"/>
        </w:rPr>
        <w:t>s</w:t>
      </w:r>
      <w:r w:rsidR="00BE4382" w:rsidRPr="0009665A">
        <w:rPr>
          <w:rFonts w:ascii="Arial" w:eastAsia="Times New Roman" w:hAnsi="Arial" w:cs="Arial"/>
          <w:sz w:val="24"/>
          <w:szCs w:val="24"/>
        </w:rPr>
        <w:t xml:space="preserve">, books, </w:t>
      </w:r>
      <w:r w:rsidR="00785424" w:rsidRPr="0009665A">
        <w:rPr>
          <w:rFonts w:ascii="Arial" w:eastAsia="Times New Roman" w:hAnsi="Arial" w:cs="Arial"/>
          <w:sz w:val="24"/>
          <w:szCs w:val="24"/>
        </w:rPr>
        <w:t>or</w:t>
      </w:r>
      <w:r w:rsidR="00BE4382" w:rsidRPr="0009665A">
        <w:rPr>
          <w:rFonts w:ascii="Arial" w:eastAsia="Times New Roman" w:hAnsi="Arial" w:cs="Arial"/>
          <w:sz w:val="24"/>
          <w:szCs w:val="24"/>
        </w:rPr>
        <w:t xml:space="preserve"> other operating materials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4B4E8E13" w14:textId="77777777" w:rsidR="0009665A" w:rsidRPr="0009665A" w:rsidRDefault="0009665A" w:rsidP="007513A3">
      <w:pPr>
        <w:pStyle w:val="ListParagraph"/>
        <w:spacing w:after="0" w:line="240" w:lineRule="auto"/>
        <w:ind w:left="1800"/>
        <w:rPr>
          <w:rFonts w:ascii="Arial" w:eastAsia="Times New Roman" w:hAnsi="Arial" w:cs="Arial"/>
          <w:sz w:val="24"/>
          <w:szCs w:val="24"/>
        </w:rPr>
      </w:pPr>
    </w:p>
    <w:p w14:paraId="1FAD4034" w14:textId="33D0E14D" w:rsidR="00E43E44" w:rsidRDefault="00066473" w:rsidP="007D5176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b.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513A3">
        <w:rPr>
          <w:rFonts w:ascii="Arial" w:eastAsia="Times New Roman" w:hAnsi="Arial" w:cs="Arial"/>
          <w:sz w:val="24"/>
          <w:szCs w:val="24"/>
        </w:rPr>
        <w:t>r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egistration </w:t>
      </w:r>
      <w:r w:rsidR="00D87340" w:rsidRPr="0009665A">
        <w:rPr>
          <w:rFonts w:ascii="Arial" w:eastAsia="Times New Roman" w:hAnsi="Arial" w:cs="Arial"/>
          <w:sz w:val="24"/>
          <w:szCs w:val="24"/>
        </w:rPr>
        <w:t xml:space="preserve">fees </w:t>
      </w:r>
      <w:r w:rsidR="003C590C" w:rsidRPr="0009665A">
        <w:rPr>
          <w:rFonts w:ascii="Arial" w:eastAsia="Times New Roman" w:hAnsi="Arial" w:cs="Arial"/>
          <w:sz w:val="24"/>
          <w:szCs w:val="24"/>
        </w:rPr>
        <w:t>paid to attend training or conferences</w:t>
      </w:r>
      <w:r w:rsidR="00062719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B91406" w:rsidRPr="0009665A">
        <w:rPr>
          <w:rFonts w:ascii="Arial" w:eastAsia="Times New Roman" w:hAnsi="Arial" w:cs="Arial"/>
          <w:sz w:val="24"/>
          <w:szCs w:val="24"/>
        </w:rPr>
        <w:t>when</w:t>
      </w:r>
      <w:r w:rsidR="00963030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B91406" w:rsidRPr="0009665A">
        <w:rPr>
          <w:rFonts w:ascii="Arial" w:eastAsia="Times New Roman" w:hAnsi="Arial" w:cs="Arial"/>
          <w:sz w:val="24"/>
          <w:szCs w:val="24"/>
        </w:rPr>
        <w:t xml:space="preserve">not practical to include on the travel </w:t>
      </w:r>
      <w:r w:rsidR="007D5176">
        <w:rPr>
          <w:rFonts w:ascii="Arial" w:eastAsia="Times New Roman" w:hAnsi="Arial" w:cs="Arial"/>
          <w:sz w:val="24"/>
          <w:szCs w:val="24"/>
        </w:rPr>
        <w:t>e</w:t>
      </w:r>
      <w:r w:rsidR="00C773B9" w:rsidRPr="0009665A">
        <w:rPr>
          <w:rFonts w:ascii="Arial" w:eastAsia="Times New Roman" w:hAnsi="Arial" w:cs="Arial"/>
          <w:sz w:val="24"/>
          <w:szCs w:val="24"/>
        </w:rPr>
        <w:t xml:space="preserve">xpense </w:t>
      </w:r>
      <w:r w:rsidR="007D5176">
        <w:rPr>
          <w:rFonts w:ascii="Arial" w:eastAsia="Times New Roman" w:hAnsi="Arial" w:cs="Arial"/>
          <w:sz w:val="24"/>
          <w:szCs w:val="24"/>
        </w:rPr>
        <w:t>r</w:t>
      </w:r>
      <w:r w:rsidR="00C773B9">
        <w:rPr>
          <w:rFonts w:ascii="Arial" w:eastAsia="Times New Roman" w:hAnsi="Arial" w:cs="Arial"/>
          <w:sz w:val="24"/>
          <w:szCs w:val="24"/>
        </w:rPr>
        <w:t>eport</w:t>
      </w:r>
      <w:r w:rsidR="00C07BCE" w:rsidRPr="0009665A">
        <w:rPr>
          <w:rFonts w:ascii="Arial" w:eastAsia="Times New Roman" w:hAnsi="Arial" w:cs="Arial"/>
          <w:sz w:val="24"/>
          <w:szCs w:val="24"/>
        </w:rPr>
        <w:t xml:space="preserve"> or </w:t>
      </w:r>
      <w:r w:rsidR="00BE4382" w:rsidRPr="0009665A">
        <w:rPr>
          <w:rFonts w:ascii="Arial" w:eastAsia="Times New Roman" w:hAnsi="Arial" w:cs="Arial"/>
          <w:sz w:val="24"/>
          <w:szCs w:val="24"/>
        </w:rPr>
        <w:t xml:space="preserve">to pay via </w:t>
      </w:r>
      <w:r w:rsidR="00C07BCE" w:rsidRPr="0009665A">
        <w:rPr>
          <w:rFonts w:ascii="Arial" w:eastAsia="Times New Roman" w:hAnsi="Arial" w:cs="Arial"/>
          <w:sz w:val="24"/>
          <w:szCs w:val="24"/>
        </w:rPr>
        <w:t>P-card</w:t>
      </w:r>
      <w:r w:rsidR="007513A3">
        <w:rPr>
          <w:rFonts w:ascii="Arial" w:eastAsia="Times New Roman" w:hAnsi="Arial" w:cs="Arial"/>
          <w:sz w:val="24"/>
          <w:szCs w:val="24"/>
        </w:rPr>
        <w:t>;</w:t>
      </w:r>
    </w:p>
    <w:p w14:paraId="5484C170" w14:textId="77777777" w:rsidR="0009665A" w:rsidRPr="0009665A" w:rsidRDefault="0009665A" w:rsidP="007D5176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3FDC886" w14:textId="11A0BBC8" w:rsidR="00E43E44" w:rsidRDefault="00963030" w:rsidP="007D5176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c.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513A3">
        <w:rPr>
          <w:rFonts w:ascii="Arial" w:eastAsia="Times New Roman" w:hAnsi="Arial" w:cs="Arial"/>
          <w:sz w:val="24"/>
          <w:szCs w:val="24"/>
        </w:rPr>
        <w:t>p</w:t>
      </w:r>
      <w:r w:rsidR="001C7C34" w:rsidRPr="0009665A">
        <w:rPr>
          <w:rFonts w:ascii="Arial" w:eastAsia="Times New Roman" w:hAnsi="Arial" w:cs="Arial"/>
          <w:sz w:val="24"/>
          <w:szCs w:val="24"/>
        </w:rPr>
        <w:t xml:space="preserve">urchases </w:t>
      </w:r>
      <w:r w:rsidR="00D4098F" w:rsidRPr="0009665A">
        <w:rPr>
          <w:rFonts w:ascii="Arial" w:eastAsia="Times New Roman" w:hAnsi="Arial" w:cs="Arial"/>
          <w:sz w:val="24"/>
          <w:szCs w:val="24"/>
        </w:rPr>
        <w:t>of food, sales taxes (see Sec</w:t>
      </w:r>
      <w:r w:rsidR="007513A3">
        <w:rPr>
          <w:rFonts w:ascii="Arial" w:eastAsia="Times New Roman" w:hAnsi="Arial" w:cs="Arial"/>
          <w:sz w:val="24"/>
          <w:szCs w:val="24"/>
        </w:rPr>
        <w:t>tion</w:t>
      </w:r>
      <w:r w:rsidR="00D4098F" w:rsidRPr="0009665A">
        <w:rPr>
          <w:rFonts w:ascii="Arial" w:eastAsia="Times New Roman" w:hAnsi="Arial" w:cs="Arial"/>
          <w:sz w:val="24"/>
          <w:szCs w:val="24"/>
        </w:rPr>
        <w:t xml:space="preserve"> 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="00D4098F"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6</w:t>
      </w:r>
      <w:r w:rsidR="00D4098F" w:rsidRPr="0009665A">
        <w:rPr>
          <w:rFonts w:ascii="Arial" w:eastAsia="Times New Roman" w:hAnsi="Arial" w:cs="Arial"/>
          <w:sz w:val="24"/>
          <w:szCs w:val="24"/>
        </w:rPr>
        <w:t xml:space="preserve">), and tips </w:t>
      </w:r>
      <w:r w:rsidR="00B91406" w:rsidRPr="0009665A">
        <w:rPr>
          <w:rFonts w:ascii="Arial" w:eastAsia="Times New Roman" w:hAnsi="Arial" w:cs="Arial"/>
          <w:sz w:val="24"/>
          <w:szCs w:val="24"/>
        </w:rPr>
        <w:t xml:space="preserve">in accordance with </w:t>
      </w:r>
      <w:r w:rsidR="007513A3">
        <w:rPr>
          <w:rStyle w:val="Hyperlink"/>
          <w:rFonts w:ascii="Arial" w:hAnsi="Arial" w:cs="Arial"/>
          <w:sz w:val="24"/>
          <w:szCs w:val="24"/>
        </w:rPr>
        <w:t xml:space="preserve"> </w:t>
      </w:r>
      <w:hyperlink r:id="rId8" w:history="1">
        <w:r w:rsidR="007513A3" w:rsidRPr="00C311FD">
          <w:rPr>
            <w:rStyle w:val="Hyperlink"/>
            <w:rFonts w:ascii="Arial" w:hAnsi="Arial" w:cs="Arial"/>
            <w:sz w:val="24"/>
            <w:szCs w:val="24"/>
            <w:u w:val="single"/>
          </w:rPr>
          <w:t>FSS/PPS No. 03.11</w:t>
        </w:r>
        <w:r w:rsidR="007513A3" w:rsidRPr="00C311FD">
          <w:rPr>
            <w:rStyle w:val="Hyperlink"/>
            <w:u w:val="single"/>
          </w:rPr>
          <w:t xml:space="preserve">, </w:t>
        </w:r>
        <w:r w:rsidR="007513A3" w:rsidRPr="00C311FD">
          <w:rPr>
            <w:rStyle w:val="Hyperlink"/>
            <w:rFonts w:ascii="Arial" w:hAnsi="Arial" w:cs="Arial"/>
            <w:sz w:val="24"/>
            <w:szCs w:val="24"/>
            <w:u w:val="single"/>
          </w:rPr>
          <w:t>Business Meals</w:t>
        </w:r>
        <w:r w:rsidR="007D5176" w:rsidRPr="00C311FD">
          <w:rPr>
            <w:rStyle w:val="Hyperlink"/>
            <w:rFonts w:ascii="Arial" w:hAnsi="Arial" w:cs="Arial"/>
            <w:sz w:val="24"/>
            <w:szCs w:val="24"/>
            <w:u w:val="single"/>
          </w:rPr>
          <w:t xml:space="preserve"> and Food Purchases</w:t>
        </w:r>
      </w:hyperlink>
      <w:r w:rsidR="007513A3">
        <w:rPr>
          <w:rFonts w:ascii="Arial" w:eastAsia="Times New Roman" w:hAnsi="Arial" w:cs="Arial"/>
          <w:sz w:val="24"/>
          <w:szCs w:val="24"/>
        </w:rPr>
        <w:t>; and</w:t>
      </w:r>
    </w:p>
    <w:p w14:paraId="3A026032" w14:textId="77777777" w:rsidR="0009665A" w:rsidRPr="0009665A" w:rsidRDefault="0009665A" w:rsidP="007D5176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08313BC1" w14:textId="3AEFAD53" w:rsidR="00BE4382" w:rsidRDefault="00BE4382" w:rsidP="007513A3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d.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513A3">
        <w:rPr>
          <w:rFonts w:ascii="Arial" w:eastAsia="Times New Roman" w:hAnsi="Arial" w:cs="Arial"/>
          <w:sz w:val="24"/>
          <w:szCs w:val="24"/>
        </w:rPr>
        <w:t>i</w:t>
      </w:r>
      <w:r w:rsidRPr="0009665A">
        <w:rPr>
          <w:rFonts w:ascii="Arial" w:eastAsia="Times New Roman" w:hAnsi="Arial" w:cs="Arial"/>
          <w:sz w:val="24"/>
          <w:szCs w:val="24"/>
        </w:rPr>
        <w:t xml:space="preserve">ncidental travel expenses </w:t>
      </w:r>
      <w:r w:rsidR="00C773B9">
        <w:rPr>
          <w:rFonts w:ascii="Arial" w:eastAsia="Times New Roman" w:hAnsi="Arial" w:cs="Arial"/>
          <w:sz w:val="24"/>
          <w:szCs w:val="24"/>
        </w:rPr>
        <w:t>which</w:t>
      </w:r>
      <w:r w:rsidR="00C773B9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Pr="0009665A">
        <w:rPr>
          <w:rFonts w:ascii="Arial" w:eastAsia="Times New Roman" w:hAnsi="Arial" w:cs="Arial"/>
          <w:sz w:val="24"/>
          <w:szCs w:val="24"/>
        </w:rPr>
        <w:t xml:space="preserve">were not included </w:t>
      </w:r>
      <w:r w:rsidR="00C773B9">
        <w:rPr>
          <w:rFonts w:ascii="Arial" w:eastAsia="Times New Roman" w:hAnsi="Arial" w:cs="Arial"/>
          <w:sz w:val="24"/>
          <w:szCs w:val="24"/>
        </w:rPr>
        <w:t>with</w:t>
      </w:r>
      <w:r w:rsidR="00C773B9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Pr="0009665A">
        <w:rPr>
          <w:rFonts w:ascii="Arial" w:eastAsia="Times New Roman" w:hAnsi="Arial" w:cs="Arial"/>
          <w:sz w:val="24"/>
          <w:szCs w:val="24"/>
        </w:rPr>
        <w:t xml:space="preserve">the traveler’s original </w:t>
      </w:r>
      <w:r w:rsidR="007D5176">
        <w:rPr>
          <w:rFonts w:ascii="Arial" w:eastAsia="Times New Roman" w:hAnsi="Arial" w:cs="Arial"/>
          <w:sz w:val="24"/>
          <w:szCs w:val="24"/>
        </w:rPr>
        <w:t>e</w:t>
      </w:r>
      <w:r w:rsidRPr="0009665A">
        <w:rPr>
          <w:rFonts w:ascii="Arial" w:eastAsia="Times New Roman" w:hAnsi="Arial" w:cs="Arial"/>
          <w:sz w:val="24"/>
          <w:szCs w:val="24"/>
        </w:rPr>
        <w:t xml:space="preserve">xpense </w:t>
      </w:r>
      <w:r w:rsidR="007D5176">
        <w:rPr>
          <w:rFonts w:ascii="Arial" w:eastAsia="Times New Roman" w:hAnsi="Arial" w:cs="Arial"/>
          <w:sz w:val="24"/>
          <w:szCs w:val="24"/>
        </w:rPr>
        <w:t>r</w:t>
      </w:r>
      <w:r w:rsidRPr="0009665A">
        <w:rPr>
          <w:rFonts w:ascii="Arial" w:eastAsia="Times New Roman" w:hAnsi="Arial" w:cs="Arial"/>
          <w:sz w:val="24"/>
          <w:szCs w:val="24"/>
        </w:rPr>
        <w:t>eport.</w:t>
      </w:r>
    </w:p>
    <w:p w14:paraId="67D180FF" w14:textId="77777777" w:rsidR="007513A3" w:rsidRPr="0009665A" w:rsidRDefault="007513A3" w:rsidP="007D5176">
      <w:pPr>
        <w:pStyle w:val="ListParagraph"/>
        <w:spacing w:after="0" w:line="240" w:lineRule="auto"/>
        <w:ind w:left="1800" w:hanging="360"/>
        <w:rPr>
          <w:rFonts w:ascii="Arial" w:eastAsia="Times New Roman" w:hAnsi="Arial" w:cs="Arial"/>
          <w:sz w:val="24"/>
          <w:szCs w:val="24"/>
        </w:rPr>
      </w:pPr>
    </w:p>
    <w:p w14:paraId="6D0C9C78" w14:textId="61E6D8F7" w:rsidR="00416D0D" w:rsidRDefault="00BE44C8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6</w:t>
      </w:r>
      <w:r w:rsidR="00963030" w:rsidRPr="0009665A">
        <w:rPr>
          <w:rFonts w:ascii="Arial" w:eastAsia="Times New Roman" w:hAnsi="Arial" w:cs="Arial"/>
          <w:sz w:val="24"/>
          <w:szCs w:val="24"/>
        </w:rPr>
        <w:tab/>
      </w:r>
      <w:r w:rsidR="0015113F">
        <w:rPr>
          <w:rFonts w:ascii="Arial" w:eastAsia="Times New Roman" w:hAnsi="Arial" w:cs="Arial"/>
          <w:sz w:val="24"/>
          <w:szCs w:val="24"/>
        </w:rPr>
        <w:t xml:space="preserve">Employees should present a </w:t>
      </w:r>
      <w:hyperlink r:id="rId9" w:history="1">
        <w:r w:rsidR="00E02055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Texas Sales T</w:t>
        </w:r>
        <w:r w:rsidR="00E02055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a</w:t>
        </w:r>
        <w:r w:rsidR="00E02055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x Exemption Certificate</w:t>
        </w:r>
      </w:hyperlink>
      <w:r w:rsidR="00C4464E">
        <w:rPr>
          <w:rFonts w:ascii="Arial" w:eastAsia="Times New Roman" w:hAnsi="Arial" w:cs="Arial"/>
          <w:sz w:val="24"/>
          <w:szCs w:val="24"/>
        </w:rPr>
        <w:t xml:space="preserve"> </w:t>
      </w:r>
      <w:r w:rsidR="0015113F">
        <w:rPr>
          <w:rFonts w:ascii="Arial" w:eastAsia="Times New Roman" w:hAnsi="Arial" w:cs="Arial"/>
          <w:sz w:val="24"/>
          <w:szCs w:val="24"/>
        </w:rPr>
        <w:t xml:space="preserve">to </w:t>
      </w:r>
      <w:r w:rsidR="00E121BE">
        <w:rPr>
          <w:rFonts w:ascii="Arial" w:eastAsia="Times New Roman" w:hAnsi="Arial" w:cs="Arial"/>
          <w:sz w:val="24"/>
          <w:szCs w:val="24"/>
        </w:rPr>
        <w:t xml:space="preserve">Texas </w:t>
      </w:r>
      <w:r w:rsidR="0015113F">
        <w:rPr>
          <w:rFonts w:ascii="Arial" w:eastAsia="Times New Roman" w:hAnsi="Arial" w:cs="Arial"/>
          <w:sz w:val="24"/>
          <w:szCs w:val="24"/>
        </w:rPr>
        <w:t>vendors to avoid payment of sales tax</w:t>
      </w:r>
      <w:r w:rsidR="006C7DCB">
        <w:rPr>
          <w:rFonts w:ascii="Arial" w:eastAsia="Times New Roman" w:hAnsi="Arial" w:cs="Arial"/>
          <w:sz w:val="24"/>
          <w:szCs w:val="24"/>
        </w:rPr>
        <w:t xml:space="preserve"> on tax</w:t>
      </w:r>
      <w:r w:rsidR="00753A9D">
        <w:rPr>
          <w:rFonts w:ascii="Arial" w:eastAsia="Times New Roman" w:hAnsi="Arial" w:cs="Arial"/>
          <w:sz w:val="24"/>
          <w:szCs w:val="24"/>
        </w:rPr>
        <w:t>-</w:t>
      </w:r>
      <w:r w:rsidR="006C7DCB">
        <w:rPr>
          <w:rFonts w:ascii="Arial" w:eastAsia="Times New Roman" w:hAnsi="Arial" w:cs="Arial"/>
          <w:sz w:val="24"/>
          <w:szCs w:val="24"/>
        </w:rPr>
        <w:t>exempt purchases</w:t>
      </w:r>
      <w:r w:rsidR="00BE1C77">
        <w:rPr>
          <w:rFonts w:ascii="Arial" w:eastAsia="Times New Roman" w:hAnsi="Arial" w:cs="Arial"/>
          <w:sz w:val="24"/>
          <w:szCs w:val="24"/>
        </w:rPr>
        <w:t xml:space="preserve">, of </w:t>
      </w:r>
      <w:r w:rsidR="00BE1C77">
        <w:rPr>
          <w:rFonts w:ascii="Arial" w:eastAsia="Times New Roman" w:hAnsi="Arial" w:cs="Arial"/>
          <w:sz w:val="24"/>
          <w:szCs w:val="24"/>
        </w:rPr>
        <w:lastRenderedPageBreak/>
        <w:t>which</w:t>
      </w:r>
      <w:r w:rsidR="0015113F">
        <w:rPr>
          <w:rFonts w:ascii="Arial" w:eastAsia="Times New Roman" w:hAnsi="Arial" w:cs="Arial"/>
          <w:sz w:val="24"/>
          <w:szCs w:val="24"/>
        </w:rPr>
        <w:t xml:space="preserve"> </w:t>
      </w:r>
      <w:r w:rsidR="007513A3">
        <w:rPr>
          <w:rFonts w:ascii="Arial" w:eastAsia="Times New Roman" w:hAnsi="Arial" w:cs="Arial"/>
          <w:sz w:val="24"/>
          <w:szCs w:val="24"/>
        </w:rPr>
        <w:t>s</w:t>
      </w:r>
      <w:r w:rsidR="0015113F" w:rsidRPr="0009665A">
        <w:rPr>
          <w:rFonts w:ascii="Arial" w:eastAsia="Times New Roman" w:hAnsi="Arial" w:cs="Arial"/>
          <w:sz w:val="24"/>
          <w:szCs w:val="24"/>
        </w:rPr>
        <w:t>tate of Texas sales tax may not be reimbursed</w:t>
      </w:r>
      <w:r w:rsidR="00BE1C77">
        <w:rPr>
          <w:rFonts w:ascii="Arial" w:eastAsia="Times New Roman" w:hAnsi="Arial" w:cs="Arial"/>
          <w:sz w:val="24"/>
          <w:szCs w:val="24"/>
        </w:rPr>
        <w:t>.</w:t>
      </w:r>
      <w:r w:rsidR="0015113F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C773B9">
        <w:rPr>
          <w:rFonts w:ascii="Arial" w:eastAsia="Times New Roman" w:hAnsi="Arial" w:cs="Arial"/>
          <w:sz w:val="24"/>
          <w:szCs w:val="24"/>
        </w:rPr>
        <w:t>E</w:t>
      </w:r>
      <w:r w:rsidR="00785424" w:rsidRPr="0009665A">
        <w:rPr>
          <w:rFonts w:ascii="Arial" w:eastAsia="Times New Roman" w:hAnsi="Arial" w:cs="Arial"/>
          <w:sz w:val="24"/>
          <w:szCs w:val="24"/>
        </w:rPr>
        <w:t>mployee</w:t>
      </w:r>
      <w:r w:rsidR="00C773B9">
        <w:rPr>
          <w:rFonts w:ascii="Arial" w:eastAsia="Times New Roman" w:hAnsi="Arial" w:cs="Arial"/>
          <w:sz w:val="24"/>
          <w:szCs w:val="24"/>
        </w:rPr>
        <w:t>s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C773B9">
        <w:rPr>
          <w:rFonts w:ascii="Arial" w:eastAsia="Times New Roman" w:hAnsi="Arial" w:cs="Arial"/>
          <w:sz w:val="24"/>
          <w:szCs w:val="24"/>
        </w:rPr>
        <w:t xml:space="preserve">who </w:t>
      </w:r>
      <w:r w:rsidR="0015113F" w:rsidRPr="0009665A">
        <w:rPr>
          <w:rFonts w:ascii="Arial" w:eastAsia="Times New Roman" w:hAnsi="Arial" w:cs="Arial"/>
          <w:sz w:val="24"/>
          <w:szCs w:val="24"/>
        </w:rPr>
        <w:t xml:space="preserve">fail to </w:t>
      </w:r>
      <w:r w:rsidR="00BE1C77">
        <w:rPr>
          <w:rFonts w:ascii="Arial" w:eastAsia="Times New Roman" w:hAnsi="Arial" w:cs="Arial"/>
          <w:sz w:val="24"/>
          <w:szCs w:val="24"/>
        </w:rPr>
        <w:t>present</w:t>
      </w:r>
      <w:r w:rsidR="0015113F" w:rsidRPr="0009665A">
        <w:rPr>
          <w:rFonts w:ascii="Arial" w:eastAsia="Times New Roman" w:hAnsi="Arial" w:cs="Arial"/>
          <w:sz w:val="24"/>
          <w:szCs w:val="24"/>
        </w:rPr>
        <w:t xml:space="preserve"> a </w:t>
      </w:r>
      <w:hyperlink r:id="rId10" w:history="1">
        <w:r w:rsidR="0015113F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Texas Sales Tax Exemption Certif</w:t>
        </w:r>
        <w:r w:rsidR="0015113F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i</w:t>
        </w:r>
        <w:r w:rsidR="0015113F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cate</w:t>
        </w:r>
      </w:hyperlink>
      <w:r w:rsidR="0015113F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C773B9">
        <w:rPr>
          <w:rFonts w:ascii="Arial" w:eastAsia="Times New Roman" w:hAnsi="Arial" w:cs="Arial"/>
          <w:sz w:val="24"/>
          <w:szCs w:val="24"/>
        </w:rPr>
        <w:t>will be</w:t>
      </w:r>
      <w:r w:rsidR="0015113F" w:rsidRPr="0009665A">
        <w:rPr>
          <w:rFonts w:ascii="Arial" w:eastAsia="Times New Roman" w:hAnsi="Arial" w:cs="Arial"/>
          <w:sz w:val="24"/>
          <w:szCs w:val="24"/>
        </w:rPr>
        <w:t xml:space="preserve"> personally responsible for payment of the sales tax. </w:t>
      </w:r>
      <w:r w:rsidR="00416D0D">
        <w:rPr>
          <w:rFonts w:ascii="Arial" w:eastAsia="Times New Roman" w:hAnsi="Arial" w:cs="Arial"/>
          <w:sz w:val="24"/>
          <w:szCs w:val="24"/>
        </w:rPr>
        <w:t>The sales tax cannot be reimbursed unless Section 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="00416D0D">
        <w:rPr>
          <w:rFonts w:ascii="Arial" w:eastAsia="Times New Roman" w:hAnsi="Arial" w:cs="Arial"/>
          <w:sz w:val="24"/>
          <w:szCs w:val="24"/>
        </w:rPr>
        <w:t xml:space="preserve">.13 is invoked. </w:t>
      </w:r>
    </w:p>
    <w:p w14:paraId="5F1D61BC" w14:textId="77777777" w:rsidR="00416D0D" w:rsidRDefault="00416D0D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3CE0991" w14:textId="5B72CDCF" w:rsidR="00785424" w:rsidRPr="0009665A" w:rsidRDefault="00785424" w:rsidP="005E6248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 xml:space="preserve">State of Texas sales tax may </w:t>
      </w:r>
      <w:r w:rsidR="000B0E76">
        <w:rPr>
          <w:rFonts w:ascii="Arial" w:eastAsia="Times New Roman" w:hAnsi="Arial" w:cs="Arial"/>
          <w:sz w:val="24"/>
          <w:szCs w:val="24"/>
        </w:rPr>
        <w:t xml:space="preserve">be </w:t>
      </w:r>
      <w:r w:rsidRPr="0009665A">
        <w:rPr>
          <w:rFonts w:ascii="Arial" w:eastAsia="Times New Roman" w:hAnsi="Arial" w:cs="Arial"/>
          <w:sz w:val="24"/>
          <w:szCs w:val="24"/>
        </w:rPr>
        <w:t>reimbursed from non-state</w:t>
      </w:r>
      <w:r w:rsidR="007D5176">
        <w:rPr>
          <w:rFonts w:ascii="Arial" w:eastAsia="Times New Roman" w:hAnsi="Arial" w:cs="Arial"/>
          <w:sz w:val="24"/>
          <w:szCs w:val="24"/>
        </w:rPr>
        <w:t>-</w:t>
      </w:r>
      <w:r w:rsidRPr="0009665A">
        <w:rPr>
          <w:rFonts w:ascii="Arial" w:eastAsia="Times New Roman" w:hAnsi="Arial" w:cs="Arial"/>
          <w:sz w:val="24"/>
          <w:szCs w:val="24"/>
        </w:rPr>
        <w:t>appropriate</w:t>
      </w:r>
      <w:r w:rsidR="003031CE">
        <w:rPr>
          <w:rFonts w:ascii="Arial" w:eastAsia="Times New Roman" w:hAnsi="Arial" w:cs="Arial"/>
          <w:sz w:val="24"/>
          <w:szCs w:val="24"/>
        </w:rPr>
        <w:t>d</w:t>
      </w:r>
      <w:r w:rsidRPr="0009665A">
        <w:rPr>
          <w:rFonts w:ascii="Arial" w:eastAsia="Times New Roman" w:hAnsi="Arial" w:cs="Arial"/>
          <w:sz w:val="24"/>
          <w:szCs w:val="24"/>
        </w:rPr>
        <w:t xml:space="preserve"> funds on </w:t>
      </w:r>
      <w:r w:rsidR="00383400">
        <w:rPr>
          <w:rFonts w:ascii="Arial" w:eastAsia="Times New Roman" w:hAnsi="Arial" w:cs="Arial"/>
          <w:sz w:val="24"/>
          <w:szCs w:val="24"/>
        </w:rPr>
        <w:t>taxable</w:t>
      </w:r>
      <w:r w:rsidRPr="0009665A">
        <w:rPr>
          <w:rFonts w:ascii="Arial" w:eastAsia="Times New Roman" w:hAnsi="Arial" w:cs="Arial"/>
          <w:sz w:val="24"/>
          <w:szCs w:val="24"/>
        </w:rPr>
        <w:t xml:space="preserve"> purchases at the discretion of the account manager</w:t>
      </w:r>
      <w:r w:rsidR="006C7DCB">
        <w:rPr>
          <w:rFonts w:ascii="Arial" w:eastAsia="Times New Roman" w:hAnsi="Arial" w:cs="Arial"/>
          <w:sz w:val="24"/>
          <w:szCs w:val="24"/>
        </w:rPr>
        <w:t>.</w:t>
      </w:r>
      <w:r w:rsidR="00416D0D">
        <w:rPr>
          <w:rFonts w:ascii="Arial" w:eastAsia="Times New Roman" w:hAnsi="Arial" w:cs="Arial"/>
          <w:sz w:val="24"/>
          <w:szCs w:val="24"/>
        </w:rPr>
        <w:t xml:space="preserve"> </w:t>
      </w:r>
      <w:r w:rsidR="00D57C20">
        <w:rPr>
          <w:rFonts w:ascii="Arial" w:eastAsia="Times New Roman" w:hAnsi="Arial" w:cs="Arial"/>
          <w:sz w:val="24"/>
          <w:szCs w:val="24"/>
        </w:rPr>
        <w:t xml:space="preserve">Prior to </w:t>
      </w:r>
      <w:r w:rsidR="00021F5E">
        <w:rPr>
          <w:rFonts w:ascii="Arial" w:eastAsia="Times New Roman" w:hAnsi="Arial" w:cs="Arial"/>
          <w:sz w:val="24"/>
          <w:szCs w:val="24"/>
        </w:rPr>
        <w:t>an employee making a tax</w:t>
      </w:r>
      <w:r w:rsidR="0052409A">
        <w:rPr>
          <w:rFonts w:ascii="Arial" w:eastAsia="Times New Roman" w:hAnsi="Arial" w:cs="Arial"/>
          <w:sz w:val="24"/>
          <w:szCs w:val="24"/>
        </w:rPr>
        <w:t>able</w:t>
      </w:r>
      <w:r w:rsidR="00021F5E">
        <w:rPr>
          <w:rFonts w:ascii="Arial" w:eastAsia="Times New Roman" w:hAnsi="Arial" w:cs="Arial"/>
          <w:sz w:val="24"/>
          <w:szCs w:val="24"/>
        </w:rPr>
        <w:t xml:space="preserve"> </w:t>
      </w:r>
      <w:r w:rsidR="00D57C20">
        <w:rPr>
          <w:rFonts w:ascii="Arial" w:eastAsia="Times New Roman" w:hAnsi="Arial" w:cs="Arial"/>
          <w:sz w:val="24"/>
          <w:szCs w:val="24"/>
        </w:rPr>
        <w:t>purchase, t</w:t>
      </w:r>
      <w:r w:rsidR="00416D0D">
        <w:rPr>
          <w:rFonts w:ascii="Arial" w:eastAsia="Times New Roman" w:hAnsi="Arial" w:cs="Arial"/>
          <w:sz w:val="24"/>
          <w:szCs w:val="24"/>
        </w:rPr>
        <w:t xml:space="preserve">he account manager should </w:t>
      </w:r>
      <w:r w:rsidR="00021F5E">
        <w:rPr>
          <w:rFonts w:ascii="Arial" w:eastAsia="Times New Roman" w:hAnsi="Arial" w:cs="Arial"/>
          <w:sz w:val="24"/>
          <w:szCs w:val="24"/>
        </w:rPr>
        <w:t xml:space="preserve">advise </w:t>
      </w:r>
      <w:r w:rsidR="00BE1C77">
        <w:rPr>
          <w:rFonts w:ascii="Arial" w:eastAsia="Times New Roman" w:hAnsi="Arial" w:cs="Arial"/>
          <w:sz w:val="24"/>
          <w:szCs w:val="24"/>
        </w:rPr>
        <w:t xml:space="preserve">whether </w:t>
      </w:r>
      <w:r w:rsidR="00416D0D">
        <w:rPr>
          <w:rFonts w:ascii="Arial" w:eastAsia="Times New Roman" w:hAnsi="Arial" w:cs="Arial"/>
          <w:sz w:val="24"/>
          <w:szCs w:val="24"/>
        </w:rPr>
        <w:t xml:space="preserve">the taxes will </w:t>
      </w:r>
      <w:r w:rsidR="00BE1C77">
        <w:rPr>
          <w:rFonts w:ascii="Arial" w:eastAsia="Times New Roman" w:hAnsi="Arial" w:cs="Arial"/>
          <w:sz w:val="24"/>
          <w:szCs w:val="24"/>
        </w:rPr>
        <w:t>or will not</w:t>
      </w:r>
      <w:r w:rsidR="00092125">
        <w:rPr>
          <w:rFonts w:ascii="Arial" w:eastAsia="Times New Roman" w:hAnsi="Arial" w:cs="Arial"/>
          <w:sz w:val="24"/>
          <w:szCs w:val="24"/>
        </w:rPr>
        <w:t xml:space="preserve"> </w:t>
      </w:r>
      <w:r w:rsidR="00416D0D">
        <w:rPr>
          <w:rFonts w:ascii="Arial" w:eastAsia="Times New Roman" w:hAnsi="Arial" w:cs="Arial"/>
          <w:sz w:val="24"/>
          <w:szCs w:val="24"/>
        </w:rPr>
        <w:t xml:space="preserve">be reimbursed. </w:t>
      </w:r>
      <w:r w:rsidR="00767458">
        <w:rPr>
          <w:rFonts w:ascii="Arial" w:eastAsia="Times New Roman" w:hAnsi="Arial" w:cs="Arial"/>
          <w:sz w:val="24"/>
          <w:szCs w:val="24"/>
        </w:rPr>
        <w:t>For m</w:t>
      </w:r>
      <w:r w:rsidRPr="0009665A">
        <w:rPr>
          <w:rFonts w:ascii="Arial" w:eastAsia="Times New Roman" w:hAnsi="Arial" w:cs="Arial"/>
          <w:sz w:val="24"/>
          <w:szCs w:val="24"/>
        </w:rPr>
        <w:t xml:space="preserve">ore </w:t>
      </w:r>
      <w:r w:rsidR="00BE1C77">
        <w:rPr>
          <w:rFonts w:ascii="Arial" w:eastAsia="Times New Roman" w:hAnsi="Arial" w:cs="Arial"/>
          <w:sz w:val="24"/>
          <w:szCs w:val="24"/>
        </w:rPr>
        <w:t xml:space="preserve">detailed </w:t>
      </w:r>
      <w:r w:rsidRPr="0009665A">
        <w:rPr>
          <w:rFonts w:ascii="Arial" w:eastAsia="Times New Roman" w:hAnsi="Arial" w:cs="Arial"/>
          <w:sz w:val="24"/>
          <w:szCs w:val="24"/>
        </w:rPr>
        <w:t xml:space="preserve">information concerning </w:t>
      </w:r>
      <w:r w:rsidR="00C773B9" w:rsidRPr="0009665A">
        <w:rPr>
          <w:rFonts w:ascii="Arial" w:eastAsia="Times New Roman" w:hAnsi="Arial" w:cs="Arial"/>
          <w:sz w:val="24"/>
          <w:szCs w:val="24"/>
        </w:rPr>
        <w:t>tax</w:t>
      </w:r>
      <w:r w:rsidR="00E02055">
        <w:rPr>
          <w:rFonts w:ascii="Arial" w:eastAsia="Times New Roman" w:hAnsi="Arial" w:cs="Arial"/>
          <w:sz w:val="24"/>
          <w:szCs w:val="24"/>
        </w:rPr>
        <w:t>-</w:t>
      </w:r>
      <w:r w:rsidRPr="0009665A">
        <w:rPr>
          <w:rFonts w:ascii="Arial" w:eastAsia="Times New Roman" w:hAnsi="Arial" w:cs="Arial"/>
          <w:sz w:val="24"/>
          <w:szCs w:val="24"/>
        </w:rPr>
        <w:t xml:space="preserve">exempt and </w:t>
      </w:r>
      <w:r w:rsidR="001B2012">
        <w:rPr>
          <w:rFonts w:ascii="Arial" w:eastAsia="Times New Roman" w:hAnsi="Arial" w:cs="Arial"/>
          <w:sz w:val="24"/>
          <w:szCs w:val="24"/>
        </w:rPr>
        <w:t>taxable</w:t>
      </w:r>
      <w:r w:rsidRPr="0009665A">
        <w:rPr>
          <w:rFonts w:ascii="Arial" w:eastAsia="Times New Roman" w:hAnsi="Arial" w:cs="Arial"/>
          <w:sz w:val="24"/>
          <w:szCs w:val="24"/>
        </w:rPr>
        <w:t xml:space="preserve"> purchases</w:t>
      </w:r>
      <w:r w:rsidR="00767458">
        <w:rPr>
          <w:rFonts w:ascii="Arial" w:eastAsia="Times New Roman" w:hAnsi="Arial" w:cs="Arial"/>
          <w:sz w:val="24"/>
          <w:szCs w:val="24"/>
        </w:rPr>
        <w:t xml:space="preserve">, visit the </w:t>
      </w:r>
      <w:hyperlink r:id="rId11" w:history="1">
        <w:r w:rsidR="00767458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Texas Sales Taxes </w:t>
        </w:r>
        <w:r w:rsidR="00767458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o</w:t>
        </w:r>
        <w:r w:rsidR="00767458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n Purchases</w:t>
        </w:r>
      </w:hyperlink>
      <w:r w:rsidR="003031CE" w:rsidRPr="00A44411">
        <w:t xml:space="preserve"> </w:t>
      </w:r>
      <w:r w:rsidR="00BE1C77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</w:rPr>
        <w:t>webp</w:t>
      </w:r>
      <w:r w:rsidR="00AE6F76">
        <w:rPr>
          <w:rStyle w:val="Hyperlink"/>
          <w:rFonts w:ascii="Arial" w:eastAsia="Times New Roman" w:hAnsi="Arial" w:cs="Arial"/>
          <w:color w:val="000000" w:themeColor="text1"/>
          <w:sz w:val="24"/>
          <w:szCs w:val="24"/>
        </w:rPr>
        <w:t>age</w:t>
      </w:r>
      <w:r w:rsidRPr="0009665A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7251F130" w14:textId="77777777" w:rsidR="00785424" w:rsidRPr="0009665A" w:rsidRDefault="00785424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DBA5AFF" w14:textId="7E024468" w:rsidR="00733845" w:rsidRPr="0009665A" w:rsidRDefault="00785424" w:rsidP="00D45969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7D5176">
        <w:rPr>
          <w:rFonts w:ascii="Arial" w:eastAsia="Times New Roman" w:hAnsi="Arial" w:cs="Arial"/>
          <w:sz w:val="24"/>
          <w:szCs w:val="24"/>
        </w:rPr>
        <w:t>7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642182" w:rsidRPr="0009665A">
        <w:rPr>
          <w:rFonts w:ascii="Arial" w:eastAsia="Times New Roman" w:hAnsi="Arial" w:cs="Arial"/>
          <w:sz w:val="24"/>
          <w:szCs w:val="24"/>
        </w:rPr>
        <w:t xml:space="preserve">Taxes for which Texas State </w:t>
      </w:r>
      <w:r w:rsidR="003031CE">
        <w:rPr>
          <w:rFonts w:ascii="Arial" w:eastAsia="Times New Roman" w:hAnsi="Arial" w:cs="Arial"/>
          <w:sz w:val="24"/>
          <w:szCs w:val="24"/>
        </w:rPr>
        <w:t>is</w:t>
      </w:r>
      <w:r w:rsidR="003031CE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642182" w:rsidRPr="0009665A">
        <w:rPr>
          <w:rFonts w:ascii="Arial" w:eastAsia="Times New Roman" w:hAnsi="Arial" w:cs="Arial"/>
          <w:sz w:val="24"/>
          <w:szCs w:val="24"/>
        </w:rPr>
        <w:t>not legally exempt,</w:t>
      </w:r>
      <w:r w:rsidR="00092125">
        <w:rPr>
          <w:rFonts w:ascii="Arial" w:eastAsia="Times New Roman" w:hAnsi="Arial" w:cs="Arial"/>
          <w:sz w:val="24"/>
          <w:szCs w:val="24"/>
        </w:rPr>
        <w:t xml:space="preserve"> </w:t>
      </w:r>
      <w:r w:rsidR="000A54B5">
        <w:rPr>
          <w:rFonts w:ascii="Arial" w:eastAsia="Times New Roman" w:hAnsi="Arial" w:cs="Arial"/>
          <w:sz w:val="24"/>
          <w:szCs w:val="24"/>
        </w:rPr>
        <w:t>such as</w:t>
      </w:r>
      <w:r w:rsidR="00642182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0A54B5">
        <w:rPr>
          <w:rFonts w:ascii="Arial" w:eastAsia="Times New Roman" w:hAnsi="Arial" w:cs="Arial"/>
          <w:sz w:val="24"/>
          <w:szCs w:val="24"/>
        </w:rPr>
        <w:t>out-of-state</w:t>
      </w:r>
      <w:r w:rsidR="00642182" w:rsidRPr="0009665A">
        <w:rPr>
          <w:rFonts w:ascii="Arial" w:eastAsia="Times New Roman" w:hAnsi="Arial" w:cs="Arial"/>
          <w:sz w:val="24"/>
          <w:szCs w:val="24"/>
        </w:rPr>
        <w:t xml:space="preserve"> sales tax</w:t>
      </w:r>
      <w:r w:rsidR="00D45969">
        <w:rPr>
          <w:rFonts w:ascii="Arial" w:eastAsia="Times New Roman" w:hAnsi="Arial" w:cs="Arial"/>
          <w:sz w:val="24"/>
          <w:szCs w:val="24"/>
        </w:rPr>
        <w:t>, are reimbursable</w:t>
      </w:r>
      <w:r w:rsidR="00642182" w:rsidRPr="0009665A">
        <w:rPr>
          <w:rFonts w:ascii="Arial" w:eastAsia="Times New Roman" w:hAnsi="Arial" w:cs="Arial"/>
          <w:sz w:val="24"/>
          <w:szCs w:val="24"/>
        </w:rPr>
        <w:t xml:space="preserve">. </w:t>
      </w:r>
      <w:r w:rsidR="00A948E3" w:rsidRPr="0009665A" w:rsidDel="00A948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141ABDA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0F6A920E" w14:textId="7F41115D" w:rsidR="00733845" w:rsidRPr="0009665A" w:rsidRDefault="001C7C34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</w:t>
      </w:r>
      <w:r w:rsidR="00785424"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8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807FE" w:rsidRPr="0009665A">
        <w:rPr>
          <w:rFonts w:ascii="Arial" w:eastAsia="Times New Roman" w:hAnsi="Arial" w:cs="Arial"/>
          <w:sz w:val="24"/>
          <w:szCs w:val="24"/>
        </w:rPr>
        <w:t>Reimbursements will not be made for personal funds expended for capital or controlled assets t</w:t>
      </w:r>
      <w:r w:rsidR="00733845" w:rsidRPr="0009665A">
        <w:rPr>
          <w:rFonts w:ascii="Arial" w:eastAsia="Times New Roman" w:hAnsi="Arial" w:cs="Arial"/>
          <w:sz w:val="24"/>
          <w:szCs w:val="24"/>
        </w:rPr>
        <w:t xml:space="preserve">o </w:t>
      </w:r>
      <w:r w:rsidR="00B26F50">
        <w:rPr>
          <w:rFonts w:ascii="Arial" w:eastAsia="Times New Roman" w:hAnsi="Arial" w:cs="Arial"/>
          <w:sz w:val="24"/>
          <w:szCs w:val="24"/>
        </w:rPr>
        <w:t>en</w:t>
      </w:r>
      <w:r w:rsidR="00B26F50" w:rsidRPr="0009665A">
        <w:rPr>
          <w:rFonts w:ascii="Arial" w:eastAsia="Times New Roman" w:hAnsi="Arial" w:cs="Arial"/>
          <w:sz w:val="24"/>
          <w:szCs w:val="24"/>
        </w:rPr>
        <w:t xml:space="preserve">sure </w:t>
      </w:r>
      <w:r w:rsidR="00383050" w:rsidRPr="0009665A">
        <w:rPr>
          <w:rFonts w:ascii="Arial" w:eastAsia="Times New Roman" w:hAnsi="Arial" w:cs="Arial"/>
          <w:sz w:val="24"/>
          <w:szCs w:val="24"/>
        </w:rPr>
        <w:t>s</w:t>
      </w:r>
      <w:r w:rsidR="00733845" w:rsidRPr="0009665A">
        <w:rPr>
          <w:rFonts w:ascii="Arial" w:eastAsia="Times New Roman" w:hAnsi="Arial" w:cs="Arial"/>
          <w:sz w:val="24"/>
          <w:szCs w:val="24"/>
        </w:rPr>
        <w:t xml:space="preserve">tate requirements are met </w:t>
      </w:r>
      <w:r w:rsidR="007807FE" w:rsidRPr="0009665A">
        <w:rPr>
          <w:rFonts w:ascii="Arial" w:eastAsia="Times New Roman" w:hAnsi="Arial" w:cs="Arial"/>
          <w:sz w:val="24"/>
          <w:szCs w:val="24"/>
        </w:rPr>
        <w:t xml:space="preserve">regarding inventorying and tagging capital equipment and controlled items. </w:t>
      </w:r>
    </w:p>
    <w:p w14:paraId="0671DDFC" w14:textId="77777777" w:rsidR="00E43E44" w:rsidRPr="0009665A" w:rsidRDefault="007807FE" w:rsidP="0009665A">
      <w:pPr>
        <w:tabs>
          <w:tab w:val="left" w:pos="8189"/>
        </w:tabs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ab/>
      </w:r>
      <w:r w:rsidRPr="0009665A">
        <w:rPr>
          <w:rFonts w:ascii="Arial" w:eastAsia="Times New Roman" w:hAnsi="Arial" w:cs="Arial"/>
          <w:sz w:val="24"/>
          <w:szCs w:val="24"/>
        </w:rPr>
        <w:tab/>
      </w:r>
    </w:p>
    <w:p w14:paraId="595DB72E" w14:textId="00DED35C" w:rsidR="00733845" w:rsidRPr="00096890" w:rsidRDefault="001C7C34" w:rsidP="0009665A">
      <w:pPr>
        <w:spacing w:after="0" w:line="240" w:lineRule="auto"/>
        <w:ind w:left="1440" w:hanging="720"/>
        <w:rPr>
          <w:rFonts w:ascii="Arial" w:hAnsi="Arial"/>
          <w:sz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bookmarkStart w:id="0" w:name="_Hlk21592152"/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</w:t>
      </w:r>
      <w:bookmarkStart w:id="1" w:name="_Hlk21591076"/>
      <w:r w:rsidR="00092125"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9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BE44C8" w:rsidRPr="00096890">
        <w:rPr>
          <w:rFonts w:ascii="Arial" w:hAnsi="Arial"/>
          <w:sz w:val="24"/>
        </w:rPr>
        <w:t>Payments for p</w:t>
      </w:r>
      <w:r w:rsidR="00733845" w:rsidRPr="00096890">
        <w:rPr>
          <w:rFonts w:ascii="Arial" w:hAnsi="Arial"/>
          <w:sz w:val="24"/>
        </w:rPr>
        <w:t xml:space="preserve">ersonal services </w:t>
      </w:r>
      <w:r w:rsidR="00C263FF" w:rsidRPr="00096890">
        <w:rPr>
          <w:rFonts w:ascii="Arial" w:hAnsi="Arial"/>
          <w:sz w:val="24"/>
        </w:rPr>
        <w:t xml:space="preserve">will </w:t>
      </w:r>
      <w:r w:rsidR="00383050" w:rsidRPr="00096890">
        <w:rPr>
          <w:rFonts w:ascii="Arial" w:hAnsi="Arial"/>
          <w:sz w:val="24"/>
        </w:rPr>
        <w:t>not be reimbursed</w:t>
      </w:r>
      <w:r w:rsidR="00044B58" w:rsidRPr="00A44411">
        <w:rPr>
          <w:rFonts w:ascii="Arial" w:eastAsia="Times New Roman" w:hAnsi="Arial" w:cs="Arial"/>
          <w:sz w:val="24"/>
          <w:szCs w:val="24"/>
        </w:rPr>
        <w:t xml:space="preserve"> unless paid by personal credit card</w:t>
      </w:r>
      <w:r w:rsidR="00383050" w:rsidRPr="00096890">
        <w:rPr>
          <w:rFonts w:ascii="Arial" w:eastAsia="Times New Roman" w:hAnsi="Arial" w:cs="Arial"/>
          <w:sz w:val="24"/>
          <w:szCs w:val="24"/>
        </w:rPr>
        <w:t xml:space="preserve">. Contact </w:t>
      </w:r>
      <w:hyperlink r:id="rId12" w:history="1">
        <w:r w:rsidR="009D6DFC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Procur</w:t>
        </w:r>
        <w:r w:rsidR="009D6DFC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e</w:t>
        </w:r>
        <w:r w:rsidR="009D6DFC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ment and Strategic Sourcing</w:t>
        </w:r>
      </w:hyperlink>
      <w:r w:rsidR="009D6DFC" w:rsidRPr="00A44411">
        <w:rPr>
          <w:rFonts w:ascii="Arial" w:eastAsia="Times New Roman" w:hAnsi="Arial" w:cs="Arial"/>
          <w:sz w:val="24"/>
          <w:szCs w:val="24"/>
        </w:rPr>
        <w:t xml:space="preserve"> </w:t>
      </w:r>
      <w:r w:rsidR="00383050" w:rsidRPr="00096890">
        <w:rPr>
          <w:rFonts w:ascii="Arial" w:hAnsi="Arial"/>
          <w:sz w:val="24"/>
        </w:rPr>
        <w:t xml:space="preserve">for guidance </w:t>
      </w:r>
      <w:r w:rsidR="00BE44C8" w:rsidRPr="00096890">
        <w:rPr>
          <w:rFonts w:ascii="Arial" w:hAnsi="Arial"/>
          <w:sz w:val="24"/>
        </w:rPr>
        <w:t xml:space="preserve">concerning </w:t>
      </w:r>
      <w:r w:rsidR="00383050" w:rsidRPr="00096890">
        <w:rPr>
          <w:rFonts w:ascii="Arial" w:hAnsi="Arial"/>
          <w:sz w:val="24"/>
        </w:rPr>
        <w:t>personal service payments.</w:t>
      </w:r>
    </w:p>
    <w:p w14:paraId="7B49471C" w14:textId="77777777" w:rsidR="00BE4382" w:rsidRPr="00A44411" w:rsidRDefault="00BE4382" w:rsidP="0009665A">
      <w:pPr>
        <w:spacing w:after="0" w:line="240" w:lineRule="auto"/>
        <w:ind w:left="1440" w:hanging="720"/>
        <w:rPr>
          <w:rFonts w:ascii="Arial" w:hAnsi="Arial"/>
          <w:sz w:val="24"/>
          <w:highlight w:val="yellow"/>
        </w:rPr>
      </w:pPr>
    </w:p>
    <w:p w14:paraId="4539F07D" w14:textId="5573CE60" w:rsidR="00BE4382" w:rsidRPr="0009665A" w:rsidRDefault="00BE438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D6DFC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9D6DFC">
        <w:rPr>
          <w:rFonts w:ascii="Arial" w:eastAsia="Times New Roman" w:hAnsi="Arial" w:cs="Arial"/>
          <w:sz w:val="24"/>
          <w:szCs w:val="24"/>
        </w:rPr>
        <w:t>.</w:t>
      </w:r>
      <w:r w:rsidR="007D5176">
        <w:rPr>
          <w:rFonts w:ascii="Arial" w:eastAsia="Times New Roman" w:hAnsi="Arial" w:cs="Arial"/>
          <w:sz w:val="24"/>
          <w:szCs w:val="24"/>
        </w:rPr>
        <w:t>10</w:t>
      </w:r>
      <w:r w:rsidRPr="009D6DFC">
        <w:rPr>
          <w:rFonts w:ascii="Arial" w:eastAsia="Times New Roman" w:hAnsi="Arial" w:cs="Arial"/>
          <w:sz w:val="24"/>
          <w:szCs w:val="24"/>
        </w:rPr>
        <w:tab/>
      </w:r>
      <w:r w:rsidRPr="00096890">
        <w:rPr>
          <w:rFonts w:ascii="Arial" w:hAnsi="Arial"/>
          <w:sz w:val="24"/>
        </w:rPr>
        <w:t>Payments for rental services (e.g.</w:t>
      </w:r>
      <w:r w:rsidR="00383E18">
        <w:rPr>
          <w:rFonts w:ascii="Arial" w:hAnsi="Arial"/>
          <w:sz w:val="24"/>
        </w:rPr>
        <w:t>,</w:t>
      </w:r>
      <w:r w:rsidRPr="00096890">
        <w:rPr>
          <w:rFonts w:ascii="Arial" w:hAnsi="Arial"/>
          <w:sz w:val="24"/>
        </w:rPr>
        <w:t xml:space="preserve"> equipment or space) </w:t>
      </w:r>
      <w:r w:rsidR="00C263FF" w:rsidRPr="00096890">
        <w:rPr>
          <w:rFonts w:ascii="Arial" w:hAnsi="Arial"/>
          <w:sz w:val="24"/>
        </w:rPr>
        <w:t>will</w:t>
      </w:r>
      <w:r w:rsidRPr="00096890">
        <w:rPr>
          <w:rFonts w:ascii="Arial" w:hAnsi="Arial"/>
          <w:sz w:val="24"/>
        </w:rPr>
        <w:t xml:space="preserve"> not be reimbursed</w:t>
      </w:r>
      <w:r w:rsidR="00044B58" w:rsidRPr="00A44411">
        <w:rPr>
          <w:rFonts w:ascii="Arial" w:eastAsia="Times New Roman" w:hAnsi="Arial" w:cs="Arial"/>
          <w:sz w:val="24"/>
          <w:szCs w:val="24"/>
        </w:rPr>
        <w:t xml:space="preserve"> unless paid by personal credit card</w:t>
      </w:r>
      <w:r w:rsidRPr="00096890">
        <w:rPr>
          <w:rFonts w:ascii="Arial" w:eastAsia="Times New Roman" w:hAnsi="Arial" w:cs="Arial"/>
          <w:sz w:val="24"/>
          <w:szCs w:val="24"/>
        </w:rPr>
        <w:t>.</w:t>
      </w:r>
      <w:r w:rsidRPr="00096890">
        <w:rPr>
          <w:rFonts w:ascii="Arial" w:hAnsi="Arial"/>
          <w:sz w:val="24"/>
        </w:rPr>
        <w:t xml:space="preserve"> Contact </w:t>
      </w:r>
      <w:hyperlink r:id="rId13" w:history="1">
        <w:r w:rsidRPr="007D5176">
          <w:rPr>
            <w:rStyle w:val="Hyperlink"/>
            <w:rFonts w:ascii="Arial" w:hAnsi="Arial"/>
            <w:sz w:val="24"/>
            <w:u w:val="single"/>
          </w:rPr>
          <w:t>Procurement and Strategic S</w:t>
        </w:r>
        <w:r w:rsidRPr="007D5176">
          <w:rPr>
            <w:rStyle w:val="Hyperlink"/>
            <w:rFonts w:ascii="Arial" w:hAnsi="Arial"/>
            <w:sz w:val="24"/>
            <w:u w:val="single"/>
          </w:rPr>
          <w:t>o</w:t>
        </w:r>
        <w:r w:rsidRPr="007D5176">
          <w:rPr>
            <w:rStyle w:val="Hyperlink"/>
            <w:rFonts w:ascii="Arial" w:hAnsi="Arial"/>
            <w:sz w:val="24"/>
            <w:u w:val="single"/>
          </w:rPr>
          <w:t>urcing</w:t>
        </w:r>
      </w:hyperlink>
      <w:r w:rsidRPr="00096890">
        <w:rPr>
          <w:rFonts w:ascii="Arial" w:hAnsi="Arial"/>
          <w:sz w:val="24"/>
        </w:rPr>
        <w:t xml:space="preserve"> for guidance concerning rental service payments.</w:t>
      </w:r>
    </w:p>
    <w:bookmarkEnd w:id="0"/>
    <w:bookmarkEnd w:id="1"/>
    <w:p w14:paraId="5ACBB3DD" w14:textId="77777777" w:rsidR="00BE4382" w:rsidRPr="0009665A" w:rsidRDefault="00BE438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53C017ED" w14:textId="44D8D6E4" w:rsidR="00BE4382" w:rsidRPr="0009665A" w:rsidRDefault="00BE4382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9D6DFC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9D6DFC">
        <w:rPr>
          <w:rFonts w:ascii="Arial" w:eastAsia="Times New Roman" w:hAnsi="Arial" w:cs="Arial"/>
          <w:sz w:val="24"/>
          <w:szCs w:val="24"/>
        </w:rPr>
        <w:t>.1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9D6DFC">
        <w:rPr>
          <w:rFonts w:ascii="Arial" w:eastAsia="Times New Roman" w:hAnsi="Arial" w:cs="Arial"/>
          <w:sz w:val="24"/>
          <w:szCs w:val="24"/>
        </w:rPr>
        <w:tab/>
        <w:t xml:space="preserve">Payments for software </w:t>
      </w:r>
      <w:r w:rsidR="00C263FF" w:rsidRPr="009D6DFC">
        <w:rPr>
          <w:rFonts w:ascii="Arial" w:eastAsia="Times New Roman" w:hAnsi="Arial" w:cs="Arial"/>
          <w:sz w:val="24"/>
          <w:szCs w:val="24"/>
        </w:rPr>
        <w:t>will</w:t>
      </w:r>
      <w:r w:rsidRPr="009D6DFC">
        <w:rPr>
          <w:rFonts w:ascii="Arial" w:eastAsia="Times New Roman" w:hAnsi="Arial" w:cs="Arial"/>
          <w:sz w:val="24"/>
          <w:szCs w:val="24"/>
        </w:rPr>
        <w:t xml:space="preserve"> not be reimbursed</w:t>
      </w:r>
      <w:r w:rsidR="00044B58" w:rsidRPr="00A44411">
        <w:rPr>
          <w:rFonts w:ascii="Arial" w:eastAsia="Times New Roman" w:hAnsi="Arial" w:cs="Arial"/>
          <w:sz w:val="24"/>
          <w:szCs w:val="24"/>
        </w:rPr>
        <w:t xml:space="preserve"> without approval from</w:t>
      </w:r>
      <w:r w:rsidR="009F766A">
        <w:rPr>
          <w:rFonts w:ascii="Arial" w:eastAsia="Times New Roman" w:hAnsi="Arial" w:cs="Arial"/>
          <w:sz w:val="24"/>
          <w:szCs w:val="24"/>
        </w:rPr>
        <w:t xml:space="preserve"> Technology Resources. Contact</w:t>
      </w:r>
      <w:r w:rsidR="00044B58" w:rsidRPr="00A44411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="009F766A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Technol</w:t>
        </w:r>
        <w:r w:rsidR="009F766A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o</w:t>
        </w:r>
        <w:r w:rsidR="009F766A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gy Resources</w:t>
        </w:r>
      </w:hyperlink>
      <w:r w:rsidRPr="009D6DFC">
        <w:rPr>
          <w:rFonts w:ascii="Arial" w:eastAsia="Times New Roman" w:hAnsi="Arial" w:cs="Arial"/>
          <w:sz w:val="24"/>
          <w:szCs w:val="24"/>
        </w:rPr>
        <w:t xml:space="preserve"> for guidance </w:t>
      </w:r>
      <w:r w:rsidR="00044B58" w:rsidRPr="00A44411">
        <w:rPr>
          <w:rFonts w:ascii="Arial" w:eastAsia="Times New Roman" w:hAnsi="Arial" w:cs="Arial"/>
          <w:sz w:val="24"/>
          <w:szCs w:val="24"/>
        </w:rPr>
        <w:t xml:space="preserve">before </w:t>
      </w:r>
      <w:r w:rsidR="009D6DFC" w:rsidRPr="00A44411">
        <w:rPr>
          <w:rFonts w:ascii="Arial" w:eastAsia="Times New Roman" w:hAnsi="Arial" w:cs="Arial"/>
          <w:sz w:val="24"/>
          <w:szCs w:val="24"/>
        </w:rPr>
        <w:t xml:space="preserve">the </w:t>
      </w:r>
      <w:r w:rsidR="00044B58" w:rsidRPr="00A44411">
        <w:rPr>
          <w:rFonts w:ascii="Arial" w:eastAsia="Times New Roman" w:hAnsi="Arial" w:cs="Arial"/>
          <w:sz w:val="24"/>
          <w:szCs w:val="24"/>
        </w:rPr>
        <w:t>purchase</w:t>
      </w:r>
      <w:r w:rsidR="009D6DFC" w:rsidRPr="00A44411">
        <w:rPr>
          <w:rFonts w:ascii="Arial" w:eastAsia="Times New Roman" w:hAnsi="Arial" w:cs="Arial"/>
          <w:sz w:val="24"/>
          <w:szCs w:val="24"/>
        </w:rPr>
        <w:t xml:space="preserve"> is made</w:t>
      </w:r>
      <w:r w:rsidR="009F766A">
        <w:rPr>
          <w:rFonts w:ascii="Arial" w:eastAsia="Times New Roman" w:hAnsi="Arial" w:cs="Arial"/>
          <w:sz w:val="24"/>
          <w:szCs w:val="24"/>
        </w:rPr>
        <w:t>.</w:t>
      </w:r>
    </w:p>
    <w:p w14:paraId="0B62B57E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4D966CE" w14:textId="4070D31D" w:rsidR="00733845" w:rsidRPr="0009665A" w:rsidRDefault="001C7C34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</w:t>
      </w:r>
      <w:r w:rsidR="00785424" w:rsidRPr="0009665A">
        <w:rPr>
          <w:rFonts w:ascii="Arial" w:eastAsia="Times New Roman" w:hAnsi="Arial" w:cs="Arial"/>
          <w:sz w:val="24"/>
          <w:szCs w:val="24"/>
        </w:rPr>
        <w:t>1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33845" w:rsidRPr="0009665A">
        <w:rPr>
          <w:rFonts w:ascii="Arial" w:eastAsia="Times New Roman" w:hAnsi="Arial" w:cs="Arial"/>
          <w:sz w:val="24"/>
          <w:szCs w:val="24"/>
        </w:rPr>
        <w:t xml:space="preserve">Agency funds are </w:t>
      </w:r>
      <w:r w:rsidR="00383050" w:rsidRPr="0009665A">
        <w:rPr>
          <w:rFonts w:ascii="Arial" w:eastAsia="Times New Roman" w:hAnsi="Arial" w:cs="Arial"/>
          <w:sz w:val="24"/>
          <w:szCs w:val="24"/>
        </w:rPr>
        <w:t xml:space="preserve">not subject to this policy. Refer to </w:t>
      </w:r>
      <w:hyperlink r:id="rId15" w:history="1">
        <w:r w:rsidR="00D52E21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UPPS No. 03.01.10, Student Organization Accounting System</w:t>
        </w:r>
      </w:hyperlink>
      <w:r w:rsidR="00383050" w:rsidRPr="0009665A">
        <w:rPr>
          <w:rFonts w:ascii="Arial" w:eastAsia="Times New Roman" w:hAnsi="Arial" w:cs="Arial"/>
          <w:sz w:val="24"/>
          <w:szCs w:val="24"/>
        </w:rPr>
        <w:t xml:space="preserve">, and </w:t>
      </w:r>
      <w:hyperlink r:id="rId16" w:history="1">
        <w:r w:rsidR="00383050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UPPS</w:t>
        </w:r>
        <w:r w:rsidR="00BA700A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 </w:t>
        </w:r>
        <w:r w:rsidR="00D52E21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 xml:space="preserve">No. </w:t>
        </w:r>
        <w:r w:rsidR="00BA700A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03.01.15, Agency Funds</w:t>
        </w:r>
      </w:hyperlink>
      <w:r w:rsidR="00383050" w:rsidRPr="0009665A">
        <w:rPr>
          <w:rFonts w:ascii="Arial" w:eastAsia="Times New Roman" w:hAnsi="Arial" w:cs="Arial"/>
          <w:sz w:val="24"/>
          <w:szCs w:val="24"/>
        </w:rPr>
        <w:t>, for guidance.</w:t>
      </w:r>
    </w:p>
    <w:p w14:paraId="0349EA58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5AFEEF6" w14:textId="396CE238" w:rsidR="00733845" w:rsidRDefault="001C7C34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1</w:t>
      </w:r>
      <w:r w:rsidRPr="0009665A">
        <w:rPr>
          <w:rFonts w:ascii="Arial" w:eastAsia="Times New Roman" w:hAnsi="Arial" w:cs="Arial"/>
          <w:sz w:val="24"/>
          <w:szCs w:val="24"/>
        </w:rPr>
        <w:t>.1</w:t>
      </w:r>
      <w:r w:rsidR="007D5176">
        <w:rPr>
          <w:rFonts w:ascii="Arial" w:eastAsia="Times New Roman" w:hAnsi="Arial" w:cs="Arial"/>
          <w:sz w:val="24"/>
          <w:szCs w:val="24"/>
        </w:rPr>
        <w:t>3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33845" w:rsidRPr="0009665A">
        <w:rPr>
          <w:rFonts w:ascii="Arial" w:eastAsia="Times New Roman" w:hAnsi="Arial" w:cs="Arial"/>
          <w:sz w:val="24"/>
          <w:szCs w:val="24"/>
        </w:rPr>
        <w:t xml:space="preserve">Exceptions to this policy resulting from extenuating circumstances may be granted by </w:t>
      </w:r>
      <w:r w:rsidR="007807FE" w:rsidRPr="0009665A">
        <w:rPr>
          <w:rFonts w:ascii="Arial" w:eastAsia="Times New Roman" w:hAnsi="Arial" w:cs="Arial"/>
          <w:sz w:val="24"/>
          <w:szCs w:val="24"/>
        </w:rPr>
        <w:t xml:space="preserve">the respective </w:t>
      </w:r>
      <w:r w:rsidR="00733845" w:rsidRPr="0009665A">
        <w:rPr>
          <w:rFonts w:ascii="Arial" w:eastAsia="Times New Roman" w:hAnsi="Arial" w:cs="Arial"/>
          <w:sz w:val="24"/>
          <w:szCs w:val="24"/>
        </w:rPr>
        <w:t xml:space="preserve">divisional </w:t>
      </w:r>
      <w:r w:rsidR="00383E18">
        <w:rPr>
          <w:rFonts w:ascii="Arial" w:eastAsia="Times New Roman" w:hAnsi="Arial" w:cs="Arial"/>
          <w:sz w:val="24"/>
          <w:szCs w:val="24"/>
        </w:rPr>
        <w:t>c</w:t>
      </w:r>
      <w:r w:rsidR="00383050" w:rsidRPr="0009665A">
        <w:rPr>
          <w:rFonts w:ascii="Arial" w:eastAsia="Times New Roman" w:hAnsi="Arial" w:cs="Arial"/>
          <w:sz w:val="24"/>
          <w:szCs w:val="24"/>
        </w:rPr>
        <w:t xml:space="preserve">abinet </w:t>
      </w:r>
      <w:r w:rsidR="00383E18">
        <w:rPr>
          <w:rFonts w:ascii="Arial" w:eastAsia="Times New Roman" w:hAnsi="Arial" w:cs="Arial"/>
          <w:sz w:val="24"/>
          <w:szCs w:val="24"/>
        </w:rPr>
        <w:t>o</w:t>
      </w:r>
      <w:r w:rsidR="00383050" w:rsidRPr="0009665A">
        <w:rPr>
          <w:rFonts w:ascii="Arial" w:eastAsia="Times New Roman" w:hAnsi="Arial" w:cs="Arial"/>
          <w:sz w:val="24"/>
          <w:szCs w:val="24"/>
        </w:rPr>
        <w:t>fficer</w:t>
      </w:r>
      <w:r w:rsidR="00733845" w:rsidRPr="0009665A">
        <w:rPr>
          <w:rFonts w:ascii="Arial" w:eastAsia="Times New Roman" w:hAnsi="Arial" w:cs="Arial"/>
          <w:sz w:val="24"/>
          <w:szCs w:val="24"/>
        </w:rPr>
        <w:t xml:space="preserve">. Written approval must be </w:t>
      </w:r>
      <w:r w:rsidR="00383050" w:rsidRPr="0009665A">
        <w:rPr>
          <w:rFonts w:ascii="Arial" w:eastAsia="Times New Roman" w:hAnsi="Arial" w:cs="Arial"/>
          <w:sz w:val="24"/>
          <w:szCs w:val="24"/>
        </w:rPr>
        <w:t xml:space="preserve">included </w:t>
      </w:r>
      <w:r w:rsidR="00BE4382" w:rsidRPr="0009665A">
        <w:rPr>
          <w:rFonts w:ascii="Arial" w:eastAsia="Times New Roman" w:hAnsi="Arial" w:cs="Arial"/>
          <w:sz w:val="24"/>
          <w:szCs w:val="24"/>
        </w:rPr>
        <w:t>in the supporting documentation for the payment request</w:t>
      </w:r>
      <w:r w:rsidR="00733845" w:rsidRPr="0009665A">
        <w:rPr>
          <w:rFonts w:ascii="Arial" w:eastAsia="Times New Roman" w:hAnsi="Arial" w:cs="Arial"/>
          <w:sz w:val="24"/>
          <w:szCs w:val="24"/>
        </w:rPr>
        <w:t>.</w:t>
      </w:r>
    </w:p>
    <w:p w14:paraId="096F27AB" w14:textId="77777777" w:rsidR="0015113F" w:rsidRPr="00A44411" w:rsidRDefault="0015113F" w:rsidP="00A44411">
      <w:pPr>
        <w:spacing w:after="0" w:line="240" w:lineRule="auto"/>
        <w:ind w:left="720" w:hanging="720"/>
        <w:rPr>
          <w:rFonts w:ascii="Arial" w:hAnsi="Arial"/>
          <w:sz w:val="24"/>
        </w:rPr>
      </w:pPr>
    </w:p>
    <w:p w14:paraId="69BB5310" w14:textId="2E45EC8B" w:rsidR="003C590C" w:rsidRPr="0009665A" w:rsidRDefault="00A4027B" w:rsidP="005102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>0</w:t>
      </w:r>
      <w:r w:rsidR="007D5176">
        <w:rPr>
          <w:rFonts w:ascii="Arial" w:eastAsia="Times New Roman" w:hAnsi="Arial" w:cs="Arial"/>
          <w:b/>
          <w:sz w:val="24"/>
          <w:szCs w:val="24"/>
        </w:rPr>
        <w:t>2</w:t>
      </w:r>
      <w:r w:rsidRPr="0009665A">
        <w:rPr>
          <w:rFonts w:ascii="Arial" w:eastAsia="Times New Roman" w:hAnsi="Arial" w:cs="Arial"/>
          <w:b/>
          <w:sz w:val="24"/>
          <w:szCs w:val="24"/>
        </w:rPr>
        <w:t>.</w:t>
      </w:r>
      <w:r w:rsidR="00510263" w:rsidRPr="0009665A">
        <w:rPr>
          <w:rFonts w:ascii="Arial" w:eastAsia="Times New Roman" w:hAnsi="Arial" w:cs="Arial"/>
          <w:b/>
          <w:sz w:val="24"/>
          <w:szCs w:val="24"/>
        </w:rPr>
        <w:tab/>
      </w:r>
      <w:r w:rsidR="003C590C" w:rsidRPr="0009665A">
        <w:rPr>
          <w:rFonts w:ascii="Arial" w:eastAsia="Times New Roman" w:hAnsi="Arial" w:cs="Arial"/>
          <w:b/>
          <w:sz w:val="24"/>
          <w:szCs w:val="24"/>
        </w:rPr>
        <w:t>PROCEDURES FOR REIMBURSEMENT</w:t>
      </w:r>
    </w:p>
    <w:p w14:paraId="526E76E9" w14:textId="77777777" w:rsidR="00510263" w:rsidRPr="0009665A" w:rsidRDefault="00510263" w:rsidP="00510263">
      <w:pPr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72D4AA46" w14:textId="568CEB50" w:rsidR="00785424" w:rsidRPr="0009665A" w:rsidRDefault="001C7FCB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>.01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85424" w:rsidRPr="0009665A">
        <w:rPr>
          <w:rFonts w:ascii="Arial" w:eastAsia="Times New Roman" w:hAnsi="Arial" w:cs="Arial"/>
          <w:sz w:val="24"/>
          <w:szCs w:val="24"/>
        </w:rPr>
        <w:t>Requests for reimbursement are made usin</w:t>
      </w:r>
      <w:r w:rsidR="0009665A">
        <w:rPr>
          <w:rFonts w:ascii="Arial" w:eastAsia="Times New Roman" w:hAnsi="Arial" w:cs="Arial"/>
          <w:sz w:val="24"/>
          <w:szCs w:val="24"/>
        </w:rPr>
        <w:t xml:space="preserve">g an e-NPO transaction in SAP. </w:t>
      </w:r>
      <w:r w:rsidR="005621A3">
        <w:rPr>
          <w:rFonts w:ascii="Arial" w:eastAsia="Times New Roman" w:hAnsi="Arial" w:cs="Arial"/>
          <w:sz w:val="24"/>
          <w:szCs w:val="24"/>
        </w:rPr>
        <w:t xml:space="preserve">Visit the </w:t>
      </w:r>
      <w:r w:rsidR="005621A3" w:rsidRPr="00C311FD">
        <w:rPr>
          <w:rFonts w:ascii="Arial" w:eastAsia="Times New Roman" w:hAnsi="Arial" w:cs="Arial"/>
          <w:sz w:val="24"/>
          <w:szCs w:val="24"/>
        </w:rPr>
        <w:t>e-N</w:t>
      </w:r>
      <w:r w:rsidR="005621A3" w:rsidRPr="00C311FD">
        <w:rPr>
          <w:rFonts w:ascii="Arial" w:eastAsia="Times New Roman" w:hAnsi="Arial" w:cs="Arial"/>
          <w:sz w:val="24"/>
          <w:szCs w:val="24"/>
        </w:rPr>
        <w:t>P</w:t>
      </w:r>
      <w:r w:rsidR="005621A3" w:rsidRPr="00C311FD">
        <w:rPr>
          <w:rFonts w:ascii="Arial" w:eastAsia="Times New Roman" w:hAnsi="Arial" w:cs="Arial"/>
          <w:sz w:val="24"/>
          <w:szCs w:val="24"/>
        </w:rPr>
        <w:t>Os</w:t>
      </w:r>
      <w:r w:rsidR="005621A3">
        <w:rPr>
          <w:rFonts w:ascii="Arial" w:eastAsia="Times New Roman" w:hAnsi="Arial" w:cs="Arial"/>
          <w:sz w:val="24"/>
          <w:szCs w:val="24"/>
        </w:rPr>
        <w:t xml:space="preserve"> page on the Accounts Payable </w:t>
      </w:r>
      <w:hyperlink r:id="rId17" w:history="1">
        <w:r w:rsidR="005621A3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web</w:t>
        </w:r>
        <w:r w:rsidR="005621A3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s</w:t>
        </w:r>
        <w:r w:rsidR="005621A3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ite</w:t>
        </w:r>
      </w:hyperlink>
      <w:r w:rsidR="005621A3">
        <w:rPr>
          <w:rFonts w:ascii="Arial" w:eastAsia="Times New Roman" w:hAnsi="Arial" w:cs="Arial"/>
          <w:sz w:val="24"/>
          <w:szCs w:val="24"/>
        </w:rPr>
        <w:t xml:space="preserve"> for i</w:t>
      </w:r>
      <w:r w:rsidR="00785424" w:rsidRPr="0009665A">
        <w:rPr>
          <w:rFonts w:ascii="Arial" w:eastAsia="Times New Roman" w:hAnsi="Arial" w:cs="Arial"/>
          <w:sz w:val="24"/>
          <w:szCs w:val="24"/>
        </w:rPr>
        <w:t>nstructions and training.</w:t>
      </w:r>
    </w:p>
    <w:p w14:paraId="63953344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6DDCB102" w14:textId="295FE41F" w:rsidR="00800CEC" w:rsidRPr="0009665A" w:rsidRDefault="001C7FCB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>.02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Documentation to support the e-NPO transaction must include a detailed invoice, sales ticket, receipt, or comparable confirmation from the vendor </w:t>
      </w:r>
      <w:r w:rsidR="00785424" w:rsidRPr="0009665A">
        <w:rPr>
          <w:rFonts w:ascii="Arial" w:eastAsia="Times New Roman" w:hAnsi="Arial" w:cs="Arial"/>
          <w:sz w:val="24"/>
          <w:szCs w:val="24"/>
        </w:rPr>
        <w:lastRenderedPageBreak/>
        <w:t>that the expense was incurred</w:t>
      </w:r>
      <w:r w:rsidR="0015113F">
        <w:rPr>
          <w:rFonts w:ascii="Arial" w:eastAsia="Times New Roman" w:hAnsi="Arial" w:cs="Arial"/>
          <w:sz w:val="24"/>
          <w:szCs w:val="24"/>
        </w:rPr>
        <w:t xml:space="preserve"> and paid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. A credit card </w:t>
      </w:r>
      <w:r w:rsidR="005621A3">
        <w:rPr>
          <w:rFonts w:ascii="Arial" w:eastAsia="Times New Roman" w:hAnsi="Arial" w:cs="Arial"/>
          <w:sz w:val="24"/>
          <w:szCs w:val="24"/>
        </w:rPr>
        <w:t>receipt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7D5176">
        <w:rPr>
          <w:rFonts w:ascii="Arial" w:eastAsia="Times New Roman" w:hAnsi="Arial" w:cs="Arial"/>
          <w:sz w:val="24"/>
          <w:szCs w:val="24"/>
        </w:rPr>
        <w:t>including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5621A3">
        <w:rPr>
          <w:rFonts w:ascii="Arial" w:eastAsia="Times New Roman" w:hAnsi="Arial" w:cs="Arial"/>
          <w:sz w:val="24"/>
          <w:szCs w:val="24"/>
        </w:rPr>
        <w:t xml:space="preserve">only the 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amount </w:t>
      </w:r>
      <w:r w:rsidR="007D5176">
        <w:rPr>
          <w:rFonts w:ascii="Arial" w:eastAsia="Times New Roman" w:hAnsi="Arial" w:cs="Arial"/>
          <w:sz w:val="24"/>
          <w:szCs w:val="24"/>
        </w:rPr>
        <w:t xml:space="preserve">total </w:t>
      </w:r>
      <w:r w:rsidR="00785424" w:rsidRPr="0009665A">
        <w:rPr>
          <w:rFonts w:ascii="Arial" w:eastAsia="Times New Roman" w:hAnsi="Arial" w:cs="Arial"/>
          <w:sz w:val="24"/>
          <w:szCs w:val="24"/>
        </w:rPr>
        <w:t>is not adequate documentation.</w:t>
      </w:r>
      <w:r w:rsid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15113F">
        <w:rPr>
          <w:rFonts w:ascii="Arial" w:eastAsia="Times New Roman" w:hAnsi="Arial" w:cs="Arial"/>
          <w:sz w:val="24"/>
          <w:szCs w:val="24"/>
        </w:rPr>
        <w:t xml:space="preserve">The method of payment should be reflected on the documentation provided by the vendor. </w:t>
      </w:r>
      <w:r w:rsidR="0015113F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785424" w:rsidRPr="0009665A">
        <w:rPr>
          <w:rFonts w:ascii="Arial" w:eastAsia="Times New Roman" w:hAnsi="Arial" w:cs="Arial"/>
          <w:sz w:val="24"/>
          <w:szCs w:val="24"/>
        </w:rPr>
        <w:t>Additional supporting documentation may be required, such as a conference agenda for registration fees.</w:t>
      </w:r>
    </w:p>
    <w:p w14:paraId="467F9CDA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28B12C3E" w14:textId="074BBD16" w:rsidR="00B91406" w:rsidRPr="0009665A" w:rsidRDefault="001C7FCB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>.03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 w:rsidR="00785424" w:rsidRPr="0009665A">
        <w:rPr>
          <w:rFonts w:ascii="Arial" w:eastAsia="Times New Roman" w:hAnsi="Arial" w:cs="Arial"/>
          <w:sz w:val="24"/>
          <w:szCs w:val="24"/>
        </w:rPr>
        <w:t>If state</w:t>
      </w:r>
      <w:r w:rsidR="007D5176">
        <w:rPr>
          <w:rFonts w:ascii="Arial" w:eastAsia="Times New Roman" w:hAnsi="Arial" w:cs="Arial"/>
          <w:sz w:val="24"/>
          <w:szCs w:val="24"/>
        </w:rPr>
        <w:t>-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appropriated funds are used to reimburse an employee, the employee may be required to provide the vendor’s federal tax identification number </w:t>
      </w:r>
      <w:r w:rsidR="007D5176">
        <w:rPr>
          <w:rFonts w:ascii="Arial" w:eastAsia="Times New Roman" w:hAnsi="Arial" w:cs="Arial"/>
          <w:sz w:val="24"/>
          <w:szCs w:val="24"/>
        </w:rPr>
        <w:t>f</w:t>
      </w:r>
      <w:r w:rsidR="00785424" w:rsidRPr="0009665A">
        <w:rPr>
          <w:rFonts w:ascii="Arial" w:eastAsia="Times New Roman" w:hAnsi="Arial" w:cs="Arial"/>
          <w:sz w:val="24"/>
          <w:szCs w:val="24"/>
        </w:rPr>
        <w:t>or use in the State Comptroll</w:t>
      </w:r>
      <w:r w:rsidR="0009665A">
        <w:rPr>
          <w:rFonts w:ascii="Arial" w:eastAsia="Times New Roman" w:hAnsi="Arial" w:cs="Arial"/>
          <w:sz w:val="24"/>
          <w:szCs w:val="24"/>
        </w:rPr>
        <w:t xml:space="preserve">er’s Office accounting system. 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Contact </w:t>
      </w:r>
      <w:hyperlink r:id="rId18" w:history="1">
        <w:r w:rsidR="00785424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Financ</w:t>
        </w:r>
        <w:bookmarkStart w:id="2" w:name="_GoBack"/>
        <w:bookmarkEnd w:id="2"/>
        <w:r w:rsidR="00785424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i</w:t>
        </w:r>
        <w:r w:rsidR="00785424" w:rsidRPr="007D5176">
          <w:rPr>
            <w:rStyle w:val="Hyperlink"/>
            <w:rFonts w:ascii="Arial" w:eastAsia="Times New Roman" w:hAnsi="Arial" w:cs="Arial"/>
            <w:sz w:val="24"/>
            <w:szCs w:val="24"/>
            <w:u w:val="single"/>
          </w:rPr>
          <w:t>al Reporting &amp; Analysis</w:t>
        </w:r>
      </w:hyperlink>
      <w:r w:rsidR="00785424" w:rsidRPr="0009665A">
        <w:rPr>
          <w:rFonts w:ascii="Arial" w:eastAsia="Times New Roman" w:hAnsi="Arial" w:cs="Arial"/>
          <w:sz w:val="24"/>
          <w:szCs w:val="24"/>
        </w:rPr>
        <w:t xml:space="preserve"> for assistance or more information.</w:t>
      </w:r>
    </w:p>
    <w:p w14:paraId="2FFB0038" w14:textId="77777777" w:rsidR="00785424" w:rsidRPr="0009665A" w:rsidRDefault="00785424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4B4438F0" w14:textId="1FDD6CEC" w:rsidR="00785424" w:rsidRPr="0009665A" w:rsidRDefault="00785424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>.04</w:t>
      </w:r>
      <w:r w:rsidRPr="0009665A">
        <w:rPr>
          <w:rFonts w:ascii="Arial" w:eastAsia="Times New Roman" w:hAnsi="Arial" w:cs="Arial"/>
          <w:sz w:val="24"/>
          <w:szCs w:val="24"/>
        </w:rPr>
        <w:tab/>
        <w:t>To obtain reimbursement under this policy, requests must be submitted no later than 60 days from the date the expenditure occurred.</w:t>
      </w:r>
      <w:r w:rsidR="0009665A">
        <w:rPr>
          <w:rFonts w:ascii="Arial" w:eastAsia="Times New Roman" w:hAnsi="Arial" w:cs="Arial"/>
          <w:sz w:val="24"/>
          <w:szCs w:val="24"/>
        </w:rPr>
        <w:t xml:space="preserve"> </w:t>
      </w:r>
      <w:r w:rsidRPr="0009665A">
        <w:rPr>
          <w:rFonts w:ascii="Arial" w:eastAsia="Times New Roman" w:hAnsi="Arial" w:cs="Arial"/>
          <w:sz w:val="24"/>
          <w:szCs w:val="24"/>
        </w:rPr>
        <w:t>Where multiple receipts support the payment request, the earl</w:t>
      </w:r>
      <w:r w:rsidR="00C17DF1" w:rsidRPr="0009665A">
        <w:rPr>
          <w:rFonts w:ascii="Arial" w:eastAsia="Times New Roman" w:hAnsi="Arial" w:cs="Arial"/>
          <w:sz w:val="24"/>
          <w:szCs w:val="24"/>
        </w:rPr>
        <w:t>iest date will determine the 60-</w:t>
      </w:r>
      <w:r w:rsidRPr="0009665A">
        <w:rPr>
          <w:rFonts w:ascii="Arial" w:eastAsia="Times New Roman" w:hAnsi="Arial" w:cs="Arial"/>
          <w:sz w:val="24"/>
          <w:szCs w:val="24"/>
        </w:rPr>
        <w:t>day time frame for the request.</w:t>
      </w:r>
    </w:p>
    <w:p w14:paraId="13492BCD" w14:textId="77777777" w:rsidR="00510263" w:rsidRPr="0009665A" w:rsidRDefault="00510263" w:rsidP="000966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221E6D" w14:textId="33B77379" w:rsidR="00800CEC" w:rsidRPr="0009665A" w:rsidRDefault="00A9056D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>.0</w:t>
      </w:r>
      <w:r w:rsidR="00BE44C8" w:rsidRPr="0009665A">
        <w:rPr>
          <w:rFonts w:ascii="Arial" w:eastAsia="Times New Roman" w:hAnsi="Arial" w:cs="Arial"/>
          <w:sz w:val="24"/>
          <w:szCs w:val="24"/>
        </w:rPr>
        <w:t>5</w:t>
      </w:r>
      <w:r w:rsidR="00510263" w:rsidRPr="0009665A">
        <w:rPr>
          <w:rFonts w:ascii="Arial" w:eastAsia="Times New Roman" w:hAnsi="Arial" w:cs="Arial"/>
          <w:sz w:val="24"/>
          <w:szCs w:val="24"/>
        </w:rPr>
        <w:tab/>
      </w:r>
      <w:r w:rsidR="009D6DFC" w:rsidRPr="00A44411">
        <w:rPr>
          <w:rFonts w:ascii="Arial" w:eastAsia="Times New Roman" w:hAnsi="Arial" w:cs="Arial"/>
          <w:sz w:val="24"/>
          <w:szCs w:val="24"/>
        </w:rPr>
        <w:t>A</w:t>
      </w:r>
      <w:r w:rsidRPr="009D6DFC">
        <w:rPr>
          <w:rFonts w:ascii="Arial" w:eastAsia="Times New Roman" w:hAnsi="Arial" w:cs="Arial"/>
          <w:sz w:val="24"/>
          <w:szCs w:val="24"/>
        </w:rPr>
        <w:t xml:space="preserve">ccount manager approval is </w:t>
      </w:r>
      <w:r w:rsidR="009D6DFC" w:rsidRPr="00A44411">
        <w:rPr>
          <w:rFonts w:ascii="Arial" w:eastAsia="Times New Roman" w:hAnsi="Arial" w:cs="Arial"/>
          <w:sz w:val="24"/>
          <w:szCs w:val="24"/>
        </w:rPr>
        <w:t xml:space="preserve">required for the </w:t>
      </w:r>
      <w:r w:rsidRPr="009D6DFC">
        <w:rPr>
          <w:rFonts w:ascii="Arial" w:eastAsia="Times New Roman" w:hAnsi="Arial" w:cs="Arial"/>
          <w:sz w:val="24"/>
          <w:szCs w:val="24"/>
        </w:rPr>
        <w:t xml:space="preserve">employee </w:t>
      </w:r>
      <w:r w:rsidR="00800CEC" w:rsidRPr="009D6DFC">
        <w:rPr>
          <w:rFonts w:ascii="Arial" w:eastAsia="Times New Roman" w:hAnsi="Arial" w:cs="Arial"/>
          <w:sz w:val="24"/>
          <w:szCs w:val="24"/>
        </w:rPr>
        <w:t xml:space="preserve">reimbursement </w:t>
      </w:r>
      <w:r w:rsidR="009D6DFC" w:rsidRPr="00A44411">
        <w:rPr>
          <w:rFonts w:ascii="Arial" w:eastAsia="Times New Roman" w:hAnsi="Arial" w:cs="Arial"/>
          <w:sz w:val="24"/>
          <w:szCs w:val="24"/>
        </w:rPr>
        <w:t xml:space="preserve">to be </w:t>
      </w:r>
      <w:r w:rsidRPr="009D6DFC">
        <w:rPr>
          <w:rFonts w:ascii="Arial" w:eastAsia="Times New Roman" w:hAnsi="Arial" w:cs="Arial"/>
          <w:sz w:val="24"/>
          <w:szCs w:val="24"/>
        </w:rPr>
        <w:t>processed</w:t>
      </w:r>
      <w:r w:rsidR="00800CEC" w:rsidRPr="009D6DFC">
        <w:rPr>
          <w:rFonts w:ascii="Arial" w:eastAsia="Times New Roman" w:hAnsi="Arial" w:cs="Arial"/>
          <w:sz w:val="24"/>
          <w:szCs w:val="24"/>
        </w:rPr>
        <w:t>.</w:t>
      </w:r>
      <w:r w:rsidR="00800CEC" w:rsidRPr="000966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CF63C53" w14:textId="77777777" w:rsidR="00510263" w:rsidRPr="0009665A" w:rsidRDefault="00510263" w:rsidP="0009665A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</w:p>
    <w:p w14:paraId="7D751863" w14:textId="6734570E" w:rsidR="00510263" w:rsidRPr="0009665A" w:rsidRDefault="00800CEC" w:rsidP="0009665A">
      <w:pPr>
        <w:spacing w:after="0" w:line="240" w:lineRule="auto"/>
        <w:ind w:left="1440" w:hanging="720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2</w:t>
      </w:r>
      <w:r w:rsidRPr="0009665A">
        <w:rPr>
          <w:rFonts w:ascii="Arial" w:eastAsia="Times New Roman" w:hAnsi="Arial" w:cs="Arial"/>
          <w:sz w:val="24"/>
          <w:szCs w:val="24"/>
        </w:rPr>
        <w:t>.</w:t>
      </w:r>
      <w:r w:rsidR="00A9056D" w:rsidRPr="0009665A">
        <w:rPr>
          <w:rFonts w:ascii="Arial" w:eastAsia="Times New Roman" w:hAnsi="Arial" w:cs="Arial"/>
          <w:sz w:val="24"/>
          <w:szCs w:val="24"/>
        </w:rPr>
        <w:t>0</w:t>
      </w:r>
      <w:r w:rsidR="00BE44C8" w:rsidRPr="0009665A">
        <w:rPr>
          <w:rFonts w:ascii="Arial" w:eastAsia="Times New Roman" w:hAnsi="Arial" w:cs="Arial"/>
          <w:sz w:val="24"/>
          <w:szCs w:val="24"/>
        </w:rPr>
        <w:t>6</w:t>
      </w:r>
      <w:r w:rsidR="00A9056D" w:rsidRPr="0009665A">
        <w:rPr>
          <w:rFonts w:ascii="Arial" w:eastAsia="Times New Roman" w:hAnsi="Arial" w:cs="Arial"/>
          <w:sz w:val="24"/>
          <w:szCs w:val="24"/>
        </w:rPr>
        <w:t xml:space="preserve"> </w:t>
      </w:r>
      <w:r w:rsidR="001C7FCB" w:rsidRPr="0009665A">
        <w:rPr>
          <w:rFonts w:ascii="Arial" w:eastAsia="Times New Roman" w:hAnsi="Arial" w:cs="Arial"/>
          <w:sz w:val="24"/>
          <w:szCs w:val="24"/>
        </w:rPr>
        <w:tab/>
      </w:r>
      <w:r w:rsidRPr="0009665A">
        <w:rPr>
          <w:rFonts w:ascii="Arial" w:eastAsia="Times New Roman" w:hAnsi="Arial" w:cs="Arial"/>
          <w:sz w:val="24"/>
          <w:szCs w:val="24"/>
        </w:rPr>
        <w:t xml:space="preserve">Accounts Payable </w:t>
      </w:r>
      <w:r w:rsidR="00A9056D" w:rsidRPr="0009665A">
        <w:rPr>
          <w:rFonts w:ascii="Arial" w:eastAsia="Times New Roman" w:hAnsi="Arial" w:cs="Arial"/>
          <w:sz w:val="24"/>
          <w:szCs w:val="24"/>
        </w:rPr>
        <w:t xml:space="preserve">will </w:t>
      </w:r>
      <w:r w:rsidR="0052409A">
        <w:rPr>
          <w:rFonts w:ascii="Arial" w:eastAsia="Times New Roman" w:hAnsi="Arial" w:cs="Arial"/>
          <w:sz w:val="24"/>
          <w:szCs w:val="24"/>
        </w:rPr>
        <w:t xml:space="preserve">review </w:t>
      </w:r>
      <w:r w:rsidR="00785424" w:rsidRPr="0009665A">
        <w:rPr>
          <w:rFonts w:ascii="Arial" w:eastAsia="Times New Roman" w:hAnsi="Arial" w:cs="Arial"/>
          <w:sz w:val="24"/>
          <w:szCs w:val="24"/>
        </w:rPr>
        <w:t xml:space="preserve">and </w:t>
      </w:r>
      <w:r w:rsidR="00A9056D" w:rsidRPr="0009665A">
        <w:rPr>
          <w:rFonts w:ascii="Arial" w:eastAsia="Times New Roman" w:hAnsi="Arial" w:cs="Arial"/>
          <w:sz w:val="24"/>
          <w:szCs w:val="24"/>
        </w:rPr>
        <w:t xml:space="preserve">process the reimbursement </w:t>
      </w:r>
      <w:r w:rsidRPr="0009665A">
        <w:rPr>
          <w:rFonts w:ascii="Arial" w:eastAsia="Times New Roman" w:hAnsi="Arial" w:cs="Arial"/>
          <w:sz w:val="24"/>
          <w:szCs w:val="24"/>
        </w:rPr>
        <w:t xml:space="preserve">after a complete </w:t>
      </w:r>
      <w:r w:rsidR="00785424" w:rsidRPr="0009665A">
        <w:rPr>
          <w:rFonts w:ascii="Arial" w:eastAsia="Times New Roman" w:hAnsi="Arial" w:cs="Arial"/>
          <w:sz w:val="24"/>
          <w:szCs w:val="24"/>
        </w:rPr>
        <w:t>e-NPO</w:t>
      </w:r>
      <w:r w:rsidR="00020806">
        <w:rPr>
          <w:rFonts w:ascii="Arial" w:eastAsia="Times New Roman" w:hAnsi="Arial" w:cs="Arial"/>
          <w:sz w:val="24"/>
          <w:szCs w:val="24"/>
        </w:rPr>
        <w:t>,</w:t>
      </w:r>
      <w:r w:rsidRPr="0009665A">
        <w:rPr>
          <w:rFonts w:ascii="Arial" w:eastAsia="Times New Roman" w:hAnsi="Arial" w:cs="Arial"/>
          <w:sz w:val="24"/>
          <w:szCs w:val="24"/>
        </w:rPr>
        <w:t xml:space="preserve"> supported by adequate documentation is received.</w:t>
      </w:r>
    </w:p>
    <w:p w14:paraId="10357ECF" w14:textId="77777777" w:rsidR="005F54F0" w:rsidRPr="0009665A" w:rsidRDefault="005F54F0" w:rsidP="00510263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</w:rPr>
      </w:pPr>
    </w:p>
    <w:p w14:paraId="6F4E93F4" w14:textId="3F2DB421" w:rsidR="003C590C" w:rsidRPr="0009665A" w:rsidRDefault="003C590C" w:rsidP="00C17DF1">
      <w:pPr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>0</w:t>
      </w:r>
      <w:r w:rsidR="007D5176">
        <w:rPr>
          <w:rFonts w:ascii="Arial" w:eastAsia="Times New Roman" w:hAnsi="Arial" w:cs="Arial"/>
          <w:b/>
          <w:sz w:val="24"/>
          <w:szCs w:val="24"/>
        </w:rPr>
        <w:t>3</w:t>
      </w:r>
      <w:r w:rsidRPr="0009665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4027B" w:rsidRPr="0009665A">
        <w:rPr>
          <w:rFonts w:ascii="Arial" w:eastAsia="Times New Roman" w:hAnsi="Arial" w:cs="Arial"/>
          <w:b/>
          <w:sz w:val="24"/>
          <w:szCs w:val="24"/>
        </w:rPr>
        <w:tab/>
      </w:r>
      <w:r w:rsidR="0009665A">
        <w:rPr>
          <w:rFonts w:ascii="Arial" w:eastAsia="Times New Roman" w:hAnsi="Arial" w:cs="Arial"/>
          <w:b/>
          <w:sz w:val="24"/>
          <w:szCs w:val="24"/>
        </w:rPr>
        <w:t xml:space="preserve">REVIEWERS OF </w:t>
      </w:r>
      <w:r w:rsidRPr="0009665A">
        <w:rPr>
          <w:rFonts w:ascii="Arial" w:eastAsia="Times New Roman" w:hAnsi="Arial" w:cs="Arial"/>
          <w:b/>
          <w:sz w:val="24"/>
          <w:szCs w:val="24"/>
        </w:rPr>
        <w:t>THIS PPS</w:t>
      </w:r>
    </w:p>
    <w:p w14:paraId="348EDFCB" w14:textId="38BCB300" w:rsidR="00800CEC" w:rsidRPr="0009665A" w:rsidRDefault="0009665A" w:rsidP="0009665A">
      <w:pPr>
        <w:pStyle w:val="ListParagraph"/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</w:t>
      </w:r>
      <w:r w:rsidR="007D5176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.01</w:t>
      </w:r>
      <w:r>
        <w:rPr>
          <w:rFonts w:ascii="Arial" w:eastAsia="Times New Roman" w:hAnsi="Arial" w:cs="Arial"/>
          <w:sz w:val="24"/>
          <w:szCs w:val="24"/>
        </w:rPr>
        <w:tab/>
        <w:t xml:space="preserve">Reviewers of </w:t>
      </w:r>
      <w:r w:rsidR="00800CEC" w:rsidRPr="0009665A">
        <w:rPr>
          <w:rFonts w:ascii="Arial" w:eastAsia="Times New Roman" w:hAnsi="Arial" w:cs="Arial"/>
          <w:sz w:val="24"/>
          <w:szCs w:val="24"/>
        </w:rPr>
        <w:t>this PPS include the following:</w:t>
      </w:r>
    </w:p>
    <w:p w14:paraId="682C34CD" w14:textId="77777777" w:rsidR="001C7FCB" w:rsidRPr="0009665A" w:rsidRDefault="001C7FCB" w:rsidP="00510263">
      <w:pPr>
        <w:pStyle w:val="ListParagraph"/>
        <w:spacing w:after="0" w:line="240" w:lineRule="auto"/>
        <w:ind w:left="750"/>
        <w:rPr>
          <w:rFonts w:ascii="Arial" w:eastAsia="Times New Roman" w:hAnsi="Arial" w:cs="Arial"/>
          <w:sz w:val="24"/>
          <w:szCs w:val="24"/>
        </w:rPr>
      </w:pPr>
    </w:p>
    <w:p w14:paraId="02F2964F" w14:textId="77777777" w:rsidR="00E43E44" w:rsidRPr="0009665A" w:rsidRDefault="0009665A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  <w:u w:val="single"/>
        </w:rPr>
        <w:t>Position</w:t>
      </w:r>
      <w:r w:rsidR="001C7FCB" w:rsidRPr="0009665A">
        <w:rPr>
          <w:rFonts w:ascii="Arial" w:eastAsia="Times New Roman" w:hAnsi="Arial" w:cs="Arial"/>
          <w:sz w:val="24"/>
          <w:szCs w:val="24"/>
        </w:rPr>
        <w:tab/>
      </w:r>
      <w:r w:rsidR="00800CEC" w:rsidRPr="0009665A">
        <w:rPr>
          <w:rFonts w:ascii="Arial" w:eastAsia="Times New Roman" w:hAnsi="Arial" w:cs="Arial"/>
          <w:sz w:val="24"/>
          <w:szCs w:val="24"/>
          <w:u w:val="single"/>
        </w:rPr>
        <w:t>Date</w:t>
      </w:r>
    </w:p>
    <w:p w14:paraId="2F7D1583" w14:textId="77777777" w:rsidR="00E43E44" w:rsidRPr="0009665A" w:rsidRDefault="00E43E44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6CAF2100" w14:textId="77777777" w:rsidR="0009665A" w:rsidRPr="0009665A" w:rsidRDefault="0009665A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 xml:space="preserve">Director, Accounting </w:t>
      </w:r>
      <w:r w:rsidRPr="0009665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March 1 E4Y</w:t>
      </w:r>
    </w:p>
    <w:p w14:paraId="1591E8C0" w14:textId="77777777" w:rsidR="0009665A" w:rsidRDefault="0009665A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199AC905" w14:textId="7CFC191B" w:rsidR="0009665A" w:rsidRDefault="00800CEC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Associate Vice President</w:t>
      </w:r>
      <w:r w:rsidR="007D5176">
        <w:rPr>
          <w:rFonts w:ascii="Arial" w:eastAsia="Times New Roman" w:hAnsi="Arial" w:cs="Arial"/>
          <w:sz w:val="24"/>
          <w:szCs w:val="24"/>
        </w:rPr>
        <w:t xml:space="preserve"> for</w:t>
      </w:r>
      <w:r w:rsidR="0009665A">
        <w:rPr>
          <w:rFonts w:ascii="Arial" w:eastAsia="Times New Roman" w:hAnsi="Arial" w:cs="Arial"/>
          <w:sz w:val="24"/>
          <w:szCs w:val="24"/>
        </w:rPr>
        <w:t xml:space="preserve"> Financial</w:t>
      </w:r>
      <w:r w:rsidR="0009665A">
        <w:rPr>
          <w:rFonts w:ascii="Arial" w:eastAsia="Times New Roman" w:hAnsi="Arial" w:cs="Arial"/>
          <w:sz w:val="24"/>
          <w:szCs w:val="24"/>
        </w:rPr>
        <w:tab/>
        <w:t>March 1 E4Y</w:t>
      </w:r>
    </w:p>
    <w:p w14:paraId="621E924A" w14:textId="77777777" w:rsidR="00E43E44" w:rsidRPr="0009665A" w:rsidRDefault="0009665A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Services</w:t>
      </w:r>
      <w:r w:rsidR="00800CEC" w:rsidRPr="0009665A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9DF1A0B" w14:textId="77777777" w:rsidR="00E43E44" w:rsidRPr="0009665A" w:rsidRDefault="00E43E44" w:rsidP="0009665A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F6E6D3" w14:textId="26BD22EA" w:rsidR="00E43E44" w:rsidRPr="0009665A" w:rsidRDefault="0009665A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Director, </w:t>
      </w:r>
      <w:r w:rsidR="00F03F7B">
        <w:rPr>
          <w:rFonts w:ascii="Arial" w:eastAsia="Times New Roman" w:hAnsi="Arial" w:cs="Arial"/>
          <w:sz w:val="24"/>
          <w:szCs w:val="24"/>
        </w:rPr>
        <w:t>Procurement &amp; Strategic</w:t>
      </w:r>
      <w:r>
        <w:rPr>
          <w:rFonts w:ascii="Arial" w:eastAsia="Times New Roman" w:hAnsi="Arial" w:cs="Arial"/>
          <w:sz w:val="24"/>
          <w:szCs w:val="24"/>
        </w:rPr>
        <w:tab/>
        <w:t>March 1 E4Y</w:t>
      </w:r>
    </w:p>
    <w:p w14:paraId="4055B895" w14:textId="77777777" w:rsidR="00F03F7B" w:rsidRPr="0009665A" w:rsidRDefault="00F03F7B" w:rsidP="0009665A">
      <w:pPr>
        <w:pStyle w:val="ListParagraph"/>
        <w:tabs>
          <w:tab w:val="left" w:pos="5760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Sourcing</w:t>
      </w:r>
    </w:p>
    <w:p w14:paraId="3101E36D" w14:textId="77777777" w:rsidR="00845F41" w:rsidRPr="0009665A" w:rsidRDefault="00845F41" w:rsidP="005102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7E9DF9" w14:textId="3EC53C24" w:rsidR="003C590C" w:rsidRPr="0009665A" w:rsidRDefault="003C590C" w:rsidP="0051026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9665A">
        <w:rPr>
          <w:rFonts w:ascii="Arial" w:eastAsia="Times New Roman" w:hAnsi="Arial" w:cs="Arial"/>
          <w:b/>
          <w:sz w:val="24"/>
          <w:szCs w:val="24"/>
        </w:rPr>
        <w:t>0</w:t>
      </w:r>
      <w:r w:rsidR="007D5176">
        <w:rPr>
          <w:rFonts w:ascii="Arial" w:eastAsia="Times New Roman" w:hAnsi="Arial" w:cs="Arial"/>
          <w:b/>
          <w:sz w:val="24"/>
          <w:szCs w:val="24"/>
        </w:rPr>
        <w:t>4</w:t>
      </w:r>
      <w:r w:rsidRPr="0009665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A4027B" w:rsidRPr="0009665A">
        <w:rPr>
          <w:rFonts w:ascii="Arial" w:eastAsia="Times New Roman" w:hAnsi="Arial" w:cs="Arial"/>
          <w:b/>
          <w:sz w:val="24"/>
          <w:szCs w:val="24"/>
        </w:rPr>
        <w:tab/>
      </w:r>
      <w:r w:rsidR="0009665A">
        <w:rPr>
          <w:rFonts w:ascii="Arial" w:eastAsia="Times New Roman" w:hAnsi="Arial" w:cs="Arial"/>
          <w:b/>
          <w:sz w:val="24"/>
          <w:szCs w:val="24"/>
        </w:rPr>
        <w:t xml:space="preserve">CERTIFICATION </w:t>
      </w:r>
      <w:r w:rsidRPr="0009665A">
        <w:rPr>
          <w:rFonts w:ascii="Arial" w:eastAsia="Times New Roman" w:hAnsi="Arial" w:cs="Arial"/>
          <w:b/>
          <w:sz w:val="24"/>
          <w:szCs w:val="24"/>
        </w:rPr>
        <w:t xml:space="preserve">STATEMENT  </w:t>
      </w:r>
    </w:p>
    <w:p w14:paraId="047F16FA" w14:textId="77777777" w:rsidR="00845F41" w:rsidRPr="0009665A" w:rsidRDefault="00845F41" w:rsidP="005102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A12D2B" w14:textId="77777777" w:rsidR="003C590C" w:rsidRPr="0009665A" w:rsidRDefault="0009665A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</w:t>
      </w:r>
      <w:r w:rsidR="003C590C" w:rsidRPr="0009665A">
        <w:rPr>
          <w:rFonts w:ascii="Arial" w:eastAsia="Times New Roman" w:hAnsi="Arial" w:cs="Arial"/>
          <w:sz w:val="24"/>
          <w:szCs w:val="24"/>
        </w:rPr>
        <w:t>PPS has been approved by the following individua</w:t>
      </w:r>
      <w:r>
        <w:rPr>
          <w:rFonts w:ascii="Arial" w:eastAsia="Times New Roman" w:hAnsi="Arial" w:cs="Arial"/>
          <w:sz w:val="24"/>
          <w:szCs w:val="24"/>
        </w:rPr>
        <w:t>ls in their official capacities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 and represents </w:t>
      </w:r>
      <w:r>
        <w:rPr>
          <w:rFonts w:ascii="Arial" w:eastAsia="Times New Roman" w:hAnsi="Arial" w:cs="Arial"/>
          <w:sz w:val="24"/>
          <w:szCs w:val="24"/>
        </w:rPr>
        <w:t xml:space="preserve">Texas State </w:t>
      </w:r>
      <w:r w:rsidR="003C590C" w:rsidRPr="0009665A"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 xml:space="preserve">inance and </w:t>
      </w:r>
      <w:r w:rsidR="003C590C" w:rsidRPr="0009665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upport </w:t>
      </w:r>
      <w:r w:rsidR="003C590C" w:rsidRPr="0009665A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ervices</w:t>
      </w:r>
      <w:r w:rsidR="003C590C" w:rsidRPr="0009665A">
        <w:rPr>
          <w:rFonts w:ascii="Arial" w:eastAsia="Times New Roman" w:hAnsi="Arial" w:cs="Arial"/>
          <w:sz w:val="24"/>
          <w:szCs w:val="24"/>
        </w:rPr>
        <w:t xml:space="preserve"> policy and procedure from the date of this document until superseded. </w:t>
      </w:r>
    </w:p>
    <w:p w14:paraId="344E94E0" w14:textId="77777777" w:rsidR="00845F41" w:rsidRPr="0009665A" w:rsidRDefault="00845F41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5B22F70" w14:textId="77777777" w:rsidR="00C17DF1" w:rsidRPr="0009665A" w:rsidRDefault="0009665A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Director, Accounting; senior r</w:t>
      </w:r>
      <w:r w:rsidR="00C17DF1" w:rsidRPr="0009665A">
        <w:rPr>
          <w:rFonts w:ascii="Arial" w:eastAsia="Times New Roman" w:hAnsi="Arial" w:cs="Arial"/>
          <w:sz w:val="24"/>
          <w:szCs w:val="24"/>
        </w:rPr>
        <w:t>eviewer</w:t>
      </w:r>
      <w:r>
        <w:rPr>
          <w:rFonts w:ascii="Arial" w:eastAsia="Times New Roman" w:hAnsi="Arial" w:cs="Arial"/>
          <w:sz w:val="24"/>
          <w:szCs w:val="24"/>
        </w:rPr>
        <w:t xml:space="preserve"> of this PPS</w:t>
      </w:r>
    </w:p>
    <w:p w14:paraId="5FD2C243" w14:textId="77777777" w:rsidR="00C17DF1" w:rsidRPr="0009665A" w:rsidRDefault="00C17DF1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7377BB" w14:textId="1402E3B9" w:rsidR="003C590C" w:rsidRPr="0009665A" w:rsidRDefault="003C590C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Associate Vice President</w:t>
      </w:r>
      <w:r w:rsidR="007D5176">
        <w:rPr>
          <w:rFonts w:ascii="Arial" w:eastAsia="Times New Roman" w:hAnsi="Arial" w:cs="Arial"/>
          <w:sz w:val="24"/>
          <w:szCs w:val="24"/>
        </w:rPr>
        <w:t xml:space="preserve"> for</w:t>
      </w:r>
      <w:r w:rsidR="001C7FCB" w:rsidRPr="0009665A">
        <w:rPr>
          <w:rFonts w:ascii="Arial" w:eastAsia="Times New Roman" w:hAnsi="Arial" w:cs="Arial"/>
          <w:sz w:val="24"/>
          <w:szCs w:val="24"/>
        </w:rPr>
        <w:t xml:space="preserve"> Financial </w:t>
      </w:r>
      <w:r w:rsidR="0009665A">
        <w:rPr>
          <w:rFonts w:ascii="Arial" w:eastAsia="Times New Roman" w:hAnsi="Arial" w:cs="Arial"/>
          <w:sz w:val="24"/>
          <w:szCs w:val="24"/>
        </w:rPr>
        <w:t>Services</w:t>
      </w:r>
    </w:p>
    <w:p w14:paraId="6FC51048" w14:textId="77777777" w:rsidR="00845F41" w:rsidRPr="0009665A" w:rsidRDefault="00845F41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60E81B4" w14:textId="40F12C32" w:rsidR="00BE44C8" w:rsidRPr="0009665A" w:rsidRDefault="003C590C" w:rsidP="0009665A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9665A">
        <w:rPr>
          <w:rFonts w:ascii="Arial" w:eastAsia="Times New Roman" w:hAnsi="Arial" w:cs="Arial"/>
          <w:sz w:val="24"/>
          <w:szCs w:val="24"/>
        </w:rPr>
        <w:t>Vice President for Finance and Support Services</w:t>
      </w:r>
    </w:p>
    <w:sectPr w:rsidR="00BE44C8" w:rsidRPr="0009665A" w:rsidSect="007D5176">
      <w:headerReference w:type="default" r:id="rId19"/>
      <w:footerReference w:type="default" r:id="rId20"/>
      <w:pgSz w:w="12240" w:h="15840"/>
      <w:pgMar w:top="1080" w:right="1440" w:bottom="180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243F" w14:textId="77777777" w:rsidR="00B41999" w:rsidRDefault="00B41999" w:rsidP="004C35E7">
      <w:pPr>
        <w:spacing w:after="0" w:line="240" w:lineRule="auto"/>
      </w:pPr>
      <w:r>
        <w:separator/>
      </w:r>
    </w:p>
  </w:endnote>
  <w:endnote w:type="continuationSeparator" w:id="0">
    <w:p w14:paraId="2AADA78A" w14:textId="77777777" w:rsidR="00B41999" w:rsidRDefault="00B41999" w:rsidP="004C35E7">
      <w:pPr>
        <w:spacing w:after="0" w:line="240" w:lineRule="auto"/>
      </w:pPr>
      <w:r>
        <w:continuationSeparator/>
      </w:r>
    </w:p>
  </w:endnote>
  <w:endnote w:type="continuationNotice" w:id="1">
    <w:p w14:paraId="3D4FEBAF" w14:textId="77777777" w:rsidR="00B41999" w:rsidRDefault="00B41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EBB6E" w14:textId="77777777" w:rsidR="005E6248" w:rsidRDefault="005E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2BA0" w14:textId="77777777" w:rsidR="00B41999" w:rsidRDefault="00B41999" w:rsidP="004C35E7">
      <w:pPr>
        <w:spacing w:after="0" w:line="240" w:lineRule="auto"/>
      </w:pPr>
      <w:r>
        <w:separator/>
      </w:r>
    </w:p>
  </w:footnote>
  <w:footnote w:type="continuationSeparator" w:id="0">
    <w:p w14:paraId="1EA9F2BB" w14:textId="77777777" w:rsidR="00B41999" w:rsidRDefault="00B41999" w:rsidP="004C35E7">
      <w:pPr>
        <w:spacing w:after="0" w:line="240" w:lineRule="auto"/>
      </w:pPr>
      <w:r>
        <w:continuationSeparator/>
      </w:r>
    </w:p>
  </w:footnote>
  <w:footnote w:type="continuationNotice" w:id="1">
    <w:p w14:paraId="201D264C" w14:textId="77777777" w:rsidR="00B41999" w:rsidRDefault="00B419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7B12" w14:textId="77777777" w:rsidR="005E6248" w:rsidRDefault="005E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626"/>
    <w:multiLevelType w:val="hybridMultilevel"/>
    <w:tmpl w:val="621057E6"/>
    <w:lvl w:ilvl="0" w:tplc="DDBE5D0E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9057DB5"/>
    <w:multiLevelType w:val="hybridMultilevel"/>
    <w:tmpl w:val="BFDE6132"/>
    <w:lvl w:ilvl="0" w:tplc="CF2205E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1C522734"/>
    <w:multiLevelType w:val="multilevel"/>
    <w:tmpl w:val="816C903C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3AF2493"/>
    <w:multiLevelType w:val="hybridMultilevel"/>
    <w:tmpl w:val="4EEC3D24"/>
    <w:lvl w:ilvl="0" w:tplc="FF2A7628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6B64A5F"/>
    <w:multiLevelType w:val="hybridMultilevel"/>
    <w:tmpl w:val="B4A0FFE4"/>
    <w:lvl w:ilvl="0" w:tplc="BCE63AA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B045E2"/>
    <w:multiLevelType w:val="hybridMultilevel"/>
    <w:tmpl w:val="D838813A"/>
    <w:lvl w:ilvl="0" w:tplc="23D0438C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DBA39C7"/>
    <w:multiLevelType w:val="hybridMultilevel"/>
    <w:tmpl w:val="B352E85E"/>
    <w:lvl w:ilvl="0" w:tplc="F628EF3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405B2B79"/>
    <w:multiLevelType w:val="hybridMultilevel"/>
    <w:tmpl w:val="B422FB26"/>
    <w:lvl w:ilvl="0" w:tplc="C1CC4F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1873E1"/>
    <w:multiLevelType w:val="multilevel"/>
    <w:tmpl w:val="2806E44A"/>
    <w:lvl w:ilvl="0">
      <w:start w:val="1"/>
      <w:numFmt w:val="decimalZero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77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9" w15:restartNumberingAfterBreak="0">
    <w:nsid w:val="4AE329A0"/>
    <w:multiLevelType w:val="hybridMultilevel"/>
    <w:tmpl w:val="038A109E"/>
    <w:lvl w:ilvl="0" w:tplc="C6703A54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30FA5"/>
    <w:multiLevelType w:val="hybridMultilevel"/>
    <w:tmpl w:val="E2B870D0"/>
    <w:lvl w:ilvl="0" w:tplc="A8228E26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0A0CAC"/>
    <w:multiLevelType w:val="hybridMultilevel"/>
    <w:tmpl w:val="3E92E0CA"/>
    <w:lvl w:ilvl="0" w:tplc="AB50997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AE07EF"/>
    <w:multiLevelType w:val="hybridMultilevel"/>
    <w:tmpl w:val="7548BBB0"/>
    <w:lvl w:ilvl="0" w:tplc="8B8E6462">
      <w:start w:val="1"/>
      <w:numFmt w:val="lowerLetter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4A2A7B"/>
    <w:multiLevelType w:val="hybridMultilevel"/>
    <w:tmpl w:val="8E12C56E"/>
    <w:lvl w:ilvl="0" w:tplc="41C0C0EC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546737EA"/>
    <w:multiLevelType w:val="hybridMultilevel"/>
    <w:tmpl w:val="B170B57A"/>
    <w:lvl w:ilvl="0" w:tplc="E902A43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5" w15:restartNumberingAfterBreak="0">
    <w:nsid w:val="579408AB"/>
    <w:multiLevelType w:val="hybridMultilevel"/>
    <w:tmpl w:val="235003B8"/>
    <w:lvl w:ilvl="0" w:tplc="C1CC4F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98311E"/>
    <w:multiLevelType w:val="hybridMultilevel"/>
    <w:tmpl w:val="D45EA3D8"/>
    <w:lvl w:ilvl="0" w:tplc="DFF8ED94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5B355006"/>
    <w:multiLevelType w:val="hybridMultilevel"/>
    <w:tmpl w:val="CF908208"/>
    <w:lvl w:ilvl="0" w:tplc="7BB67C1C">
      <w:start w:val="3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86D99"/>
    <w:multiLevelType w:val="hybridMultilevel"/>
    <w:tmpl w:val="C43604F8"/>
    <w:lvl w:ilvl="0" w:tplc="B9F69E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4F116C"/>
    <w:multiLevelType w:val="hybridMultilevel"/>
    <w:tmpl w:val="4956D0A4"/>
    <w:lvl w:ilvl="0" w:tplc="39D2AFCA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F5470"/>
    <w:multiLevelType w:val="hybridMultilevel"/>
    <w:tmpl w:val="0218A882"/>
    <w:lvl w:ilvl="0" w:tplc="4BDC91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654FD8"/>
    <w:multiLevelType w:val="hybridMultilevel"/>
    <w:tmpl w:val="3F86788E"/>
    <w:lvl w:ilvl="0" w:tplc="A2344B5A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56A61"/>
    <w:multiLevelType w:val="multilevel"/>
    <w:tmpl w:val="2806E44A"/>
    <w:lvl w:ilvl="0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23" w15:restartNumberingAfterBreak="0">
    <w:nsid w:val="7BAD7921"/>
    <w:multiLevelType w:val="hybridMultilevel"/>
    <w:tmpl w:val="8522D7C0"/>
    <w:lvl w:ilvl="0" w:tplc="C762AE26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7CB6259D"/>
    <w:multiLevelType w:val="multilevel"/>
    <w:tmpl w:val="121C10E8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6"/>
  </w:num>
  <w:num w:numId="5">
    <w:abstractNumId w:val="3"/>
  </w:num>
  <w:num w:numId="6">
    <w:abstractNumId w:val="23"/>
  </w:num>
  <w:num w:numId="7">
    <w:abstractNumId w:val="13"/>
  </w:num>
  <w:num w:numId="8">
    <w:abstractNumId w:val="14"/>
  </w:num>
  <w:num w:numId="9">
    <w:abstractNumId w:val="22"/>
  </w:num>
  <w:num w:numId="10">
    <w:abstractNumId w:val="20"/>
  </w:num>
  <w:num w:numId="11">
    <w:abstractNumId w:val="4"/>
  </w:num>
  <w:num w:numId="12">
    <w:abstractNumId w:val="10"/>
  </w:num>
  <w:num w:numId="13">
    <w:abstractNumId w:val="21"/>
  </w:num>
  <w:num w:numId="14">
    <w:abstractNumId w:val="17"/>
  </w:num>
  <w:num w:numId="15">
    <w:abstractNumId w:val="19"/>
  </w:num>
  <w:num w:numId="16">
    <w:abstractNumId w:val="9"/>
  </w:num>
  <w:num w:numId="17">
    <w:abstractNumId w:val="24"/>
  </w:num>
  <w:num w:numId="18">
    <w:abstractNumId w:val="2"/>
  </w:num>
  <w:num w:numId="19">
    <w:abstractNumId w:val="18"/>
  </w:num>
  <w:num w:numId="20">
    <w:abstractNumId w:val="11"/>
  </w:num>
  <w:num w:numId="21">
    <w:abstractNumId w:val="1"/>
  </w:num>
  <w:num w:numId="22">
    <w:abstractNumId w:val="5"/>
  </w:num>
  <w:num w:numId="23">
    <w:abstractNumId w:val="15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0C"/>
    <w:rsid w:val="00020806"/>
    <w:rsid w:val="00021F5E"/>
    <w:rsid w:val="00025219"/>
    <w:rsid w:val="00044B58"/>
    <w:rsid w:val="00062719"/>
    <w:rsid w:val="000661BE"/>
    <w:rsid w:val="00066473"/>
    <w:rsid w:val="00083E3A"/>
    <w:rsid w:val="00091200"/>
    <w:rsid w:val="00092125"/>
    <w:rsid w:val="0009665A"/>
    <w:rsid w:val="00096890"/>
    <w:rsid w:val="00097A65"/>
    <w:rsid w:val="000A54B5"/>
    <w:rsid w:val="000B0E76"/>
    <w:rsid w:val="000D7138"/>
    <w:rsid w:val="000E346B"/>
    <w:rsid w:val="000E3D3B"/>
    <w:rsid w:val="000E5E88"/>
    <w:rsid w:val="000F2B71"/>
    <w:rsid w:val="000F70A4"/>
    <w:rsid w:val="001072AE"/>
    <w:rsid w:val="00111B60"/>
    <w:rsid w:val="0011203E"/>
    <w:rsid w:val="00143C49"/>
    <w:rsid w:val="0015045A"/>
    <w:rsid w:val="0015113F"/>
    <w:rsid w:val="001564AE"/>
    <w:rsid w:val="001638EF"/>
    <w:rsid w:val="0016394D"/>
    <w:rsid w:val="001639AC"/>
    <w:rsid w:val="00182E07"/>
    <w:rsid w:val="001978E1"/>
    <w:rsid w:val="001A05AA"/>
    <w:rsid w:val="001B2012"/>
    <w:rsid w:val="001B61E5"/>
    <w:rsid w:val="001C7C34"/>
    <w:rsid w:val="001C7FCB"/>
    <w:rsid w:val="001D2A2F"/>
    <w:rsid w:val="001D6835"/>
    <w:rsid w:val="001F3E05"/>
    <w:rsid w:val="0020124F"/>
    <w:rsid w:val="00204D6F"/>
    <w:rsid w:val="00214946"/>
    <w:rsid w:val="002614C4"/>
    <w:rsid w:val="002B13A5"/>
    <w:rsid w:val="002B6FE5"/>
    <w:rsid w:val="002F1E85"/>
    <w:rsid w:val="002F56EC"/>
    <w:rsid w:val="003031CE"/>
    <w:rsid w:val="00311A62"/>
    <w:rsid w:val="003214A3"/>
    <w:rsid w:val="00337AC5"/>
    <w:rsid w:val="003440AF"/>
    <w:rsid w:val="003713BA"/>
    <w:rsid w:val="00371773"/>
    <w:rsid w:val="003762C8"/>
    <w:rsid w:val="0038093E"/>
    <w:rsid w:val="00383050"/>
    <w:rsid w:val="00383400"/>
    <w:rsid w:val="00383E18"/>
    <w:rsid w:val="003932D2"/>
    <w:rsid w:val="003A1724"/>
    <w:rsid w:val="003B1E67"/>
    <w:rsid w:val="003C208A"/>
    <w:rsid w:val="003C590C"/>
    <w:rsid w:val="003C625E"/>
    <w:rsid w:val="003C68C4"/>
    <w:rsid w:val="003D3EF4"/>
    <w:rsid w:val="003D4313"/>
    <w:rsid w:val="003E2122"/>
    <w:rsid w:val="0041413A"/>
    <w:rsid w:val="00416D0D"/>
    <w:rsid w:val="00433C6D"/>
    <w:rsid w:val="00442669"/>
    <w:rsid w:val="00471351"/>
    <w:rsid w:val="004A3132"/>
    <w:rsid w:val="004B24BB"/>
    <w:rsid w:val="004C35E7"/>
    <w:rsid w:val="004C44D3"/>
    <w:rsid w:val="004C4AAC"/>
    <w:rsid w:val="004D0399"/>
    <w:rsid w:val="004D15FB"/>
    <w:rsid w:val="004D1822"/>
    <w:rsid w:val="004E3F8F"/>
    <w:rsid w:val="004F3C66"/>
    <w:rsid w:val="004F4D33"/>
    <w:rsid w:val="00501BED"/>
    <w:rsid w:val="0050652E"/>
    <w:rsid w:val="00510263"/>
    <w:rsid w:val="00522864"/>
    <w:rsid w:val="0052409A"/>
    <w:rsid w:val="00545DDC"/>
    <w:rsid w:val="00550354"/>
    <w:rsid w:val="005521DD"/>
    <w:rsid w:val="00556F8A"/>
    <w:rsid w:val="005621A3"/>
    <w:rsid w:val="00563998"/>
    <w:rsid w:val="0057703A"/>
    <w:rsid w:val="005838A8"/>
    <w:rsid w:val="005A1DDC"/>
    <w:rsid w:val="005B6B9B"/>
    <w:rsid w:val="005C0579"/>
    <w:rsid w:val="005C42D1"/>
    <w:rsid w:val="005D5742"/>
    <w:rsid w:val="005E6248"/>
    <w:rsid w:val="005F54F0"/>
    <w:rsid w:val="005F68AF"/>
    <w:rsid w:val="00601D21"/>
    <w:rsid w:val="006025AD"/>
    <w:rsid w:val="006064B9"/>
    <w:rsid w:val="006151EC"/>
    <w:rsid w:val="00642182"/>
    <w:rsid w:val="006429F8"/>
    <w:rsid w:val="00670D75"/>
    <w:rsid w:val="00681627"/>
    <w:rsid w:val="0068421E"/>
    <w:rsid w:val="00684BA9"/>
    <w:rsid w:val="006A0C74"/>
    <w:rsid w:val="006A50B1"/>
    <w:rsid w:val="006B52F2"/>
    <w:rsid w:val="006B5A87"/>
    <w:rsid w:val="006C7DCB"/>
    <w:rsid w:val="006E52C1"/>
    <w:rsid w:val="00702D71"/>
    <w:rsid w:val="0070550F"/>
    <w:rsid w:val="00706309"/>
    <w:rsid w:val="00714A4D"/>
    <w:rsid w:val="00720C7B"/>
    <w:rsid w:val="00733845"/>
    <w:rsid w:val="00735E28"/>
    <w:rsid w:val="007513A3"/>
    <w:rsid w:val="00753A9D"/>
    <w:rsid w:val="0075672E"/>
    <w:rsid w:val="00767458"/>
    <w:rsid w:val="00775362"/>
    <w:rsid w:val="007807FE"/>
    <w:rsid w:val="00785424"/>
    <w:rsid w:val="00790C5C"/>
    <w:rsid w:val="007939FF"/>
    <w:rsid w:val="007C228C"/>
    <w:rsid w:val="007D5176"/>
    <w:rsid w:val="007E1940"/>
    <w:rsid w:val="007F09F1"/>
    <w:rsid w:val="00800CEC"/>
    <w:rsid w:val="00803CF8"/>
    <w:rsid w:val="00823B4E"/>
    <w:rsid w:val="00845F41"/>
    <w:rsid w:val="008467EF"/>
    <w:rsid w:val="008563FC"/>
    <w:rsid w:val="00871898"/>
    <w:rsid w:val="00872053"/>
    <w:rsid w:val="00873A6F"/>
    <w:rsid w:val="008844F1"/>
    <w:rsid w:val="008863D3"/>
    <w:rsid w:val="00892A2D"/>
    <w:rsid w:val="008B7258"/>
    <w:rsid w:val="008C5381"/>
    <w:rsid w:val="008C7A17"/>
    <w:rsid w:val="008E132B"/>
    <w:rsid w:val="008E300B"/>
    <w:rsid w:val="008E4637"/>
    <w:rsid w:val="0092740A"/>
    <w:rsid w:val="0093686F"/>
    <w:rsid w:val="00943C14"/>
    <w:rsid w:val="00946A82"/>
    <w:rsid w:val="00952C95"/>
    <w:rsid w:val="00953D88"/>
    <w:rsid w:val="00963030"/>
    <w:rsid w:val="0096757C"/>
    <w:rsid w:val="00982490"/>
    <w:rsid w:val="00982E6A"/>
    <w:rsid w:val="00984E15"/>
    <w:rsid w:val="009C2D7F"/>
    <w:rsid w:val="009C5FF1"/>
    <w:rsid w:val="009C7073"/>
    <w:rsid w:val="009D6DFC"/>
    <w:rsid w:val="009D73E3"/>
    <w:rsid w:val="009F086C"/>
    <w:rsid w:val="009F4853"/>
    <w:rsid w:val="009F6227"/>
    <w:rsid w:val="009F766A"/>
    <w:rsid w:val="00A111C7"/>
    <w:rsid w:val="00A142CB"/>
    <w:rsid w:val="00A21A9F"/>
    <w:rsid w:val="00A4027B"/>
    <w:rsid w:val="00A44411"/>
    <w:rsid w:val="00A524D0"/>
    <w:rsid w:val="00A52685"/>
    <w:rsid w:val="00A703B0"/>
    <w:rsid w:val="00A72F58"/>
    <w:rsid w:val="00A9056D"/>
    <w:rsid w:val="00A948E3"/>
    <w:rsid w:val="00AB5A90"/>
    <w:rsid w:val="00AC275E"/>
    <w:rsid w:val="00AC50F4"/>
    <w:rsid w:val="00AC6C8E"/>
    <w:rsid w:val="00AE6F76"/>
    <w:rsid w:val="00AF2749"/>
    <w:rsid w:val="00B23566"/>
    <w:rsid w:val="00B26F50"/>
    <w:rsid w:val="00B4031D"/>
    <w:rsid w:val="00B41999"/>
    <w:rsid w:val="00B5421F"/>
    <w:rsid w:val="00B63DA0"/>
    <w:rsid w:val="00B91406"/>
    <w:rsid w:val="00BA700A"/>
    <w:rsid w:val="00BB1E2B"/>
    <w:rsid w:val="00BB3D8E"/>
    <w:rsid w:val="00BD566D"/>
    <w:rsid w:val="00BE0D97"/>
    <w:rsid w:val="00BE1C77"/>
    <w:rsid w:val="00BE4382"/>
    <w:rsid w:val="00BE44C8"/>
    <w:rsid w:val="00C07BCE"/>
    <w:rsid w:val="00C07F6B"/>
    <w:rsid w:val="00C17DF1"/>
    <w:rsid w:val="00C263FF"/>
    <w:rsid w:val="00C311FD"/>
    <w:rsid w:val="00C4464E"/>
    <w:rsid w:val="00C61F5C"/>
    <w:rsid w:val="00C75D6F"/>
    <w:rsid w:val="00C773B9"/>
    <w:rsid w:val="00CA294E"/>
    <w:rsid w:val="00CC1ED3"/>
    <w:rsid w:val="00CC3580"/>
    <w:rsid w:val="00CE4844"/>
    <w:rsid w:val="00CF3B9A"/>
    <w:rsid w:val="00D04624"/>
    <w:rsid w:val="00D3223B"/>
    <w:rsid w:val="00D4098F"/>
    <w:rsid w:val="00D45969"/>
    <w:rsid w:val="00D52E21"/>
    <w:rsid w:val="00D54869"/>
    <w:rsid w:val="00D57C20"/>
    <w:rsid w:val="00D73DAF"/>
    <w:rsid w:val="00D87340"/>
    <w:rsid w:val="00DC288A"/>
    <w:rsid w:val="00E02055"/>
    <w:rsid w:val="00E0332E"/>
    <w:rsid w:val="00E05D32"/>
    <w:rsid w:val="00E121BE"/>
    <w:rsid w:val="00E2085A"/>
    <w:rsid w:val="00E27095"/>
    <w:rsid w:val="00E43E44"/>
    <w:rsid w:val="00E63B2D"/>
    <w:rsid w:val="00E74381"/>
    <w:rsid w:val="00EA45D7"/>
    <w:rsid w:val="00EB41D7"/>
    <w:rsid w:val="00EB6CF1"/>
    <w:rsid w:val="00ED122F"/>
    <w:rsid w:val="00EF6C51"/>
    <w:rsid w:val="00F004A6"/>
    <w:rsid w:val="00F036F9"/>
    <w:rsid w:val="00F03F7B"/>
    <w:rsid w:val="00F04E11"/>
    <w:rsid w:val="00F252F2"/>
    <w:rsid w:val="00F5028E"/>
    <w:rsid w:val="00F6603E"/>
    <w:rsid w:val="00F67D52"/>
    <w:rsid w:val="00F71CC1"/>
    <w:rsid w:val="00FB008A"/>
    <w:rsid w:val="00FE1D46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8E0679"/>
  <w15:docId w15:val="{0C5534FE-09B7-4B34-B127-71A2709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90C"/>
    <w:rPr>
      <w:rFonts w:ascii="Times New Roman" w:eastAsia="Times New Roman" w:hAnsi="Times New Roman" w:cs="Times New Roman"/>
      <w:kern w:val="3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90C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C590C"/>
    <w:rPr>
      <w:b w:val="0"/>
      <w:bCs w:val="0"/>
    </w:rPr>
  </w:style>
  <w:style w:type="paragraph" w:styleId="NormalWeb">
    <w:name w:val="Normal (Web)"/>
    <w:basedOn w:val="Normal"/>
    <w:uiPriority w:val="99"/>
    <w:unhideWhenUsed/>
    <w:rsid w:val="003C5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5E7"/>
  </w:style>
  <w:style w:type="paragraph" w:styleId="Footer">
    <w:name w:val="footer"/>
    <w:basedOn w:val="Normal"/>
    <w:link w:val="FooterChar"/>
    <w:uiPriority w:val="99"/>
    <w:unhideWhenUsed/>
    <w:rsid w:val="004C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5E7"/>
  </w:style>
  <w:style w:type="paragraph" w:styleId="BalloonText">
    <w:name w:val="Balloon Text"/>
    <w:basedOn w:val="Normal"/>
    <w:link w:val="BalloonTextChar"/>
    <w:uiPriority w:val="99"/>
    <w:semiHidden/>
    <w:unhideWhenUsed/>
    <w:rsid w:val="0038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542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6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6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2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6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83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txstate.edu/division-policies/finance-and-support-services/03-11.html" TargetMode="External"/><Relationship Id="rId13" Type="http://schemas.openxmlformats.org/officeDocument/2006/relationships/hyperlink" Target="http://www.txstate.edu/gao/procurement/" TargetMode="External"/><Relationship Id="rId18" Type="http://schemas.openxmlformats.org/officeDocument/2006/relationships/hyperlink" Target="http://www.txstate.edu/gao/reportin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xstate.edu/gao/procurement/" TargetMode="External"/><Relationship Id="rId17" Type="http://schemas.openxmlformats.org/officeDocument/2006/relationships/hyperlink" Target="https://www.txstate.edu/gao/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licies.txstate.edu/university-policies/03-01-15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xstate.edu/gao/ap/resources/Texas-Sales-Taxes-on-Purchase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cies.txstate.edu/university-policies/03-01-10.html" TargetMode="External"/><Relationship Id="rId10" Type="http://schemas.openxmlformats.org/officeDocument/2006/relationships/hyperlink" Target="https://www.txstate.edu/payroll/tax-compliance/form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xstate.edu/payroll/tax-compliance/forms.html" TargetMode="External"/><Relationship Id="rId14" Type="http://schemas.openxmlformats.org/officeDocument/2006/relationships/hyperlink" Target="http://www.tr.txstate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64D2-F010-4FAF-9DDD-80791C19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cn18</dc:creator>
  <cp:lastModifiedBy>Garza, Ana Lisa</cp:lastModifiedBy>
  <cp:revision>2</cp:revision>
  <cp:lastPrinted>2019-11-18T19:55:00Z</cp:lastPrinted>
  <dcterms:created xsi:type="dcterms:W3CDTF">2019-11-18T20:23:00Z</dcterms:created>
  <dcterms:modified xsi:type="dcterms:W3CDTF">2019-11-18T20:23:00Z</dcterms:modified>
</cp:coreProperties>
</file>