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EB209" w14:textId="77777777" w:rsidR="003C14C8" w:rsidRDefault="003C14C8" w:rsidP="00491307">
      <w:pPr>
        <w:jc w:val="center"/>
        <w:rPr>
          <w:b/>
        </w:rPr>
      </w:pPr>
      <w:bookmarkStart w:id="0" w:name="_GoBack"/>
      <w:bookmarkEnd w:id="0"/>
    </w:p>
    <w:p w14:paraId="39D741B7" w14:textId="4D822AD9" w:rsidR="003C14C8" w:rsidRDefault="00FC65EE" w:rsidP="00FC65EE">
      <w:pPr>
        <w:jc w:val="center"/>
        <w:rPr>
          <w:b/>
        </w:rPr>
      </w:pPr>
      <w:r>
        <w:rPr>
          <w:b/>
          <w:noProof/>
        </w:rPr>
        <w:drawing>
          <wp:inline distT="0" distB="0" distL="0" distR="0" wp14:anchorId="73FCB5A8" wp14:editId="55FD5DD4">
            <wp:extent cx="3619500"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027_LIA_Center_Research_Public_Policy_Training_Logo_1a_Primary_2color.jpg"/>
                    <pic:cNvPicPr/>
                  </pic:nvPicPr>
                  <pic:blipFill>
                    <a:blip r:embed="rId8"/>
                    <a:stretch>
                      <a:fillRect/>
                    </a:stretch>
                  </pic:blipFill>
                  <pic:spPr>
                    <a:xfrm>
                      <a:off x="0" y="0"/>
                      <a:ext cx="3624165" cy="1525964"/>
                    </a:xfrm>
                    <a:prstGeom prst="rect">
                      <a:avLst/>
                    </a:prstGeom>
                  </pic:spPr>
                </pic:pic>
              </a:graphicData>
            </a:graphic>
          </wp:inline>
        </w:drawing>
      </w:r>
    </w:p>
    <w:p w14:paraId="39D26F33" w14:textId="77777777" w:rsidR="004822B8" w:rsidRPr="004822B8" w:rsidRDefault="004822B8" w:rsidP="004822B8">
      <w:pPr>
        <w:jc w:val="center"/>
        <w:rPr>
          <w:b/>
          <w:sz w:val="48"/>
          <w:szCs w:val="48"/>
        </w:rPr>
      </w:pPr>
      <w:r w:rsidRPr="004822B8">
        <w:rPr>
          <w:b/>
          <w:sz w:val="48"/>
          <w:szCs w:val="48"/>
        </w:rPr>
        <w:t>Understanding Poverty in San Marcos, Texas: A Comparativ</w:t>
      </w:r>
      <w:r w:rsidRPr="004822B8">
        <w:rPr>
          <w:rFonts w:hint="eastAsia"/>
          <w:b/>
          <w:sz w:val="48"/>
          <w:szCs w:val="48"/>
        </w:rPr>
        <w:t>e</w:t>
      </w:r>
      <w:r w:rsidRPr="004822B8">
        <w:rPr>
          <w:b/>
          <w:sz w:val="48"/>
          <w:szCs w:val="48"/>
        </w:rPr>
        <w:t xml:space="preserve"> Perspectiv</w:t>
      </w:r>
      <w:r w:rsidRPr="004822B8">
        <w:rPr>
          <w:rFonts w:hint="eastAsia"/>
          <w:b/>
          <w:sz w:val="48"/>
          <w:szCs w:val="48"/>
        </w:rPr>
        <w:t>e</w:t>
      </w:r>
    </w:p>
    <w:p w14:paraId="1B984BF7" w14:textId="37EAB49C" w:rsidR="003C14C8" w:rsidRDefault="003C14C8" w:rsidP="00491307">
      <w:pPr>
        <w:jc w:val="center"/>
        <w:rPr>
          <w:b/>
        </w:rPr>
      </w:pPr>
    </w:p>
    <w:p w14:paraId="00388A52" w14:textId="53925DFE" w:rsidR="004822B8" w:rsidRPr="004704F8" w:rsidRDefault="004822B8" w:rsidP="00491307">
      <w:pPr>
        <w:jc w:val="center"/>
        <w:rPr>
          <w:b/>
          <w:color w:val="FF0000"/>
          <w:sz w:val="36"/>
          <w:szCs w:val="36"/>
        </w:rPr>
      </w:pPr>
    </w:p>
    <w:p w14:paraId="631A8978" w14:textId="643AFF3B" w:rsidR="003C14C8" w:rsidRDefault="003C14C8" w:rsidP="004822B8">
      <w:pPr>
        <w:rPr>
          <w:b/>
        </w:rPr>
      </w:pPr>
    </w:p>
    <w:p w14:paraId="3412B567" w14:textId="1523A032" w:rsidR="003C14C8" w:rsidRDefault="003C14C8" w:rsidP="00491307">
      <w:pPr>
        <w:jc w:val="center"/>
        <w:rPr>
          <w:b/>
        </w:rPr>
      </w:pPr>
    </w:p>
    <w:p w14:paraId="12C551B8" w14:textId="65D85E3A" w:rsidR="003C14C8" w:rsidRDefault="003C14C8" w:rsidP="00491307">
      <w:pPr>
        <w:jc w:val="center"/>
        <w:rPr>
          <w:b/>
        </w:rPr>
      </w:pPr>
    </w:p>
    <w:p w14:paraId="22D1A315" w14:textId="5F6A119A" w:rsidR="004822B8" w:rsidRPr="004822B8" w:rsidRDefault="003C14C8" w:rsidP="004822B8">
      <w:pPr>
        <w:jc w:val="center"/>
        <w:rPr>
          <w:b/>
          <w:sz w:val="32"/>
          <w:szCs w:val="32"/>
        </w:rPr>
      </w:pPr>
      <w:r w:rsidRPr="004822B8">
        <w:rPr>
          <w:b/>
          <w:sz w:val="32"/>
          <w:szCs w:val="32"/>
        </w:rPr>
        <w:t>Thomas Longoria, Ph.D.</w:t>
      </w:r>
    </w:p>
    <w:p w14:paraId="39F6C90C" w14:textId="2ECDA8CE" w:rsidR="004822B8" w:rsidRPr="004822B8" w:rsidRDefault="004822B8" w:rsidP="00491307">
      <w:pPr>
        <w:jc w:val="center"/>
        <w:rPr>
          <w:b/>
          <w:sz w:val="32"/>
          <w:szCs w:val="32"/>
        </w:rPr>
      </w:pPr>
      <w:r w:rsidRPr="004822B8">
        <w:rPr>
          <w:b/>
          <w:sz w:val="32"/>
          <w:szCs w:val="32"/>
        </w:rPr>
        <w:t>Center for Research, Public Policy, and Training</w:t>
      </w:r>
    </w:p>
    <w:p w14:paraId="03322AE6" w14:textId="5C0BE82F" w:rsidR="004822B8" w:rsidRPr="004822B8" w:rsidRDefault="004822B8" w:rsidP="00491307">
      <w:pPr>
        <w:jc w:val="center"/>
        <w:rPr>
          <w:b/>
          <w:sz w:val="32"/>
          <w:szCs w:val="32"/>
        </w:rPr>
      </w:pPr>
      <w:r w:rsidRPr="004822B8">
        <w:rPr>
          <w:b/>
          <w:sz w:val="32"/>
          <w:szCs w:val="32"/>
        </w:rPr>
        <w:t>Professor, Department of Political Science</w:t>
      </w:r>
    </w:p>
    <w:p w14:paraId="36A466E3" w14:textId="4FD73C1F" w:rsidR="004822B8" w:rsidRPr="004822B8" w:rsidRDefault="004822B8" w:rsidP="00491307">
      <w:pPr>
        <w:jc w:val="center"/>
        <w:rPr>
          <w:b/>
          <w:sz w:val="32"/>
          <w:szCs w:val="32"/>
        </w:rPr>
      </w:pPr>
      <w:r w:rsidRPr="004822B8">
        <w:rPr>
          <w:b/>
          <w:sz w:val="32"/>
          <w:szCs w:val="32"/>
        </w:rPr>
        <w:t>Texas State University</w:t>
      </w:r>
    </w:p>
    <w:p w14:paraId="4DA2003B" w14:textId="77777777" w:rsidR="00B63E27" w:rsidRPr="004822B8" w:rsidRDefault="00B63E27" w:rsidP="00491307">
      <w:pPr>
        <w:jc w:val="center"/>
        <w:rPr>
          <w:b/>
          <w:sz w:val="32"/>
          <w:szCs w:val="32"/>
        </w:rPr>
      </w:pPr>
    </w:p>
    <w:p w14:paraId="5AEFBFA8" w14:textId="77777777" w:rsidR="00B63E27" w:rsidRPr="004822B8" w:rsidRDefault="00B63E27" w:rsidP="00491307">
      <w:pPr>
        <w:jc w:val="center"/>
        <w:rPr>
          <w:b/>
          <w:sz w:val="32"/>
          <w:szCs w:val="32"/>
        </w:rPr>
      </w:pPr>
    </w:p>
    <w:p w14:paraId="6AF0FBBF" w14:textId="0F2A646E" w:rsidR="004822B8" w:rsidRPr="004822B8" w:rsidRDefault="004822B8" w:rsidP="004822B8">
      <w:pPr>
        <w:jc w:val="center"/>
        <w:rPr>
          <w:b/>
          <w:sz w:val="32"/>
          <w:szCs w:val="32"/>
        </w:rPr>
      </w:pPr>
      <w:r w:rsidRPr="004822B8">
        <w:rPr>
          <w:b/>
          <w:sz w:val="32"/>
          <w:szCs w:val="32"/>
        </w:rPr>
        <w:t>2017</w:t>
      </w:r>
    </w:p>
    <w:p w14:paraId="72297A67" w14:textId="77777777" w:rsidR="00503362" w:rsidRDefault="00503362" w:rsidP="00491307">
      <w:pPr>
        <w:jc w:val="center"/>
        <w:rPr>
          <w:b/>
        </w:rPr>
      </w:pPr>
    </w:p>
    <w:p w14:paraId="26AF6FA6" w14:textId="77777777" w:rsidR="004822B8" w:rsidRDefault="004822B8" w:rsidP="00B366AA">
      <w:pPr>
        <w:rPr>
          <w:b/>
        </w:rPr>
      </w:pPr>
    </w:p>
    <w:p w14:paraId="335AEA74" w14:textId="77777777" w:rsidR="004822B8" w:rsidRDefault="004822B8" w:rsidP="00491307">
      <w:pPr>
        <w:jc w:val="center"/>
        <w:rPr>
          <w:b/>
        </w:rPr>
      </w:pPr>
    </w:p>
    <w:p w14:paraId="0AF55036" w14:textId="622E6922" w:rsidR="004822B8" w:rsidRPr="004822B8" w:rsidRDefault="004822B8" w:rsidP="004822B8">
      <w:pPr>
        <w:jc w:val="center"/>
        <w:rPr>
          <w:b/>
          <w:sz w:val="20"/>
          <w:szCs w:val="20"/>
        </w:rPr>
      </w:pPr>
      <w:r w:rsidRPr="004822B8">
        <w:rPr>
          <w:b/>
          <w:sz w:val="20"/>
          <w:szCs w:val="20"/>
        </w:rPr>
        <w:t>CRPPT Working Papers</w:t>
      </w:r>
    </w:p>
    <w:p w14:paraId="13B35772" w14:textId="77777777" w:rsidR="004822B8" w:rsidRPr="004822B8" w:rsidRDefault="004822B8" w:rsidP="004822B8">
      <w:pPr>
        <w:jc w:val="center"/>
        <w:rPr>
          <w:b/>
          <w:sz w:val="20"/>
          <w:szCs w:val="20"/>
        </w:rPr>
      </w:pPr>
    </w:p>
    <w:p w14:paraId="29842A73" w14:textId="4E5D433C" w:rsidR="004822B8" w:rsidRPr="004822B8" w:rsidRDefault="004822B8" w:rsidP="004822B8">
      <w:pPr>
        <w:jc w:val="center"/>
        <w:rPr>
          <w:b/>
          <w:sz w:val="20"/>
          <w:szCs w:val="20"/>
        </w:rPr>
      </w:pPr>
      <w:r w:rsidRPr="004822B8">
        <w:rPr>
          <w:b/>
          <w:sz w:val="20"/>
          <w:szCs w:val="20"/>
        </w:rPr>
        <w:t>No. 17-1</w:t>
      </w:r>
    </w:p>
    <w:p w14:paraId="0012CD63" w14:textId="77777777" w:rsidR="004822B8" w:rsidRPr="004822B8" w:rsidRDefault="004822B8" w:rsidP="004822B8">
      <w:pPr>
        <w:rPr>
          <w:b/>
          <w:sz w:val="20"/>
          <w:szCs w:val="20"/>
        </w:rPr>
      </w:pPr>
    </w:p>
    <w:p w14:paraId="764C48AF" w14:textId="77777777" w:rsidR="004822B8" w:rsidRDefault="004822B8" w:rsidP="004822B8">
      <w:pPr>
        <w:jc w:val="center"/>
        <w:rPr>
          <w:b/>
          <w:sz w:val="20"/>
          <w:szCs w:val="20"/>
        </w:rPr>
      </w:pPr>
      <w:r w:rsidRPr="004822B8">
        <w:rPr>
          <w:b/>
          <w:sz w:val="20"/>
          <w:szCs w:val="20"/>
        </w:rPr>
        <w:t>UAC 359  601 University Drive  San Marcos, TX 78666-4684</w:t>
      </w:r>
      <w:r>
        <w:rPr>
          <w:b/>
          <w:sz w:val="20"/>
          <w:szCs w:val="20"/>
        </w:rPr>
        <w:t xml:space="preserve">  (512)245-6899 </w:t>
      </w:r>
    </w:p>
    <w:p w14:paraId="37684FF8" w14:textId="77777777" w:rsidR="004822B8" w:rsidRDefault="004822B8" w:rsidP="004822B8">
      <w:pPr>
        <w:jc w:val="center"/>
        <w:rPr>
          <w:b/>
          <w:sz w:val="20"/>
          <w:szCs w:val="20"/>
        </w:rPr>
      </w:pPr>
    </w:p>
    <w:p w14:paraId="6C5DF10E" w14:textId="678D6BAA" w:rsidR="004822B8" w:rsidRDefault="004822B8" w:rsidP="004822B8">
      <w:pPr>
        <w:jc w:val="center"/>
        <w:rPr>
          <w:b/>
          <w:sz w:val="20"/>
          <w:szCs w:val="20"/>
        </w:rPr>
      </w:pPr>
      <w:r w:rsidRPr="004822B8">
        <w:rPr>
          <w:b/>
          <w:sz w:val="20"/>
          <w:szCs w:val="20"/>
        </w:rPr>
        <w:t>crppt.polisci.txstate.edu/</w:t>
      </w:r>
    </w:p>
    <w:p w14:paraId="32EDFBBF" w14:textId="77777777" w:rsidR="00B366AA" w:rsidRDefault="00B366AA" w:rsidP="004822B8">
      <w:pPr>
        <w:jc w:val="center"/>
        <w:rPr>
          <w:b/>
          <w:sz w:val="20"/>
          <w:szCs w:val="20"/>
        </w:rPr>
      </w:pPr>
    </w:p>
    <w:p w14:paraId="6EDF90FF" w14:textId="77777777" w:rsidR="00B366AA" w:rsidRPr="004822B8" w:rsidRDefault="00B366AA" w:rsidP="004822B8">
      <w:pPr>
        <w:jc w:val="center"/>
        <w:rPr>
          <w:b/>
          <w:sz w:val="20"/>
          <w:szCs w:val="20"/>
        </w:rPr>
      </w:pPr>
    </w:p>
    <w:p w14:paraId="518BD6C3" w14:textId="17B30A93" w:rsidR="000A0353" w:rsidRPr="000A0353" w:rsidRDefault="00B366AA" w:rsidP="000A0353">
      <w:pPr>
        <w:jc w:val="center"/>
        <w:rPr>
          <w:b/>
        </w:rPr>
      </w:pPr>
      <w:r>
        <w:rPr>
          <w:noProof/>
        </w:rPr>
        <w:drawing>
          <wp:inline distT="0" distB="0" distL="0" distR="0" wp14:anchorId="1EA43A4F" wp14:editId="4B5AE607">
            <wp:extent cx="2146300" cy="906888"/>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t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47362" cy="907337"/>
                    </a:xfrm>
                    <a:prstGeom prst="rect">
                      <a:avLst/>
                    </a:prstGeom>
                    <a:noFill/>
                    <a:ln>
                      <a:noFill/>
                    </a:ln>
                  </pic:spPr>
                </pic:pic>
              </a:graphicData>
            </a:graphic>
          </wp:inline>
        </w:drawing>
      </w:r>
    </w:p>
    <w:p w14:paraId="470E3616" w14:textId="5CB72C48" w:rsidR="003C14C8" w:rsidRDefault="003C14C8">
      <w:pPr>
        <w:rPr>
          <w:b/>
        </w:rPr>
      </w:pPr>
    </w:p>
    <w:p w14:paraId="5FFB6D5C" w14:textId="77777777" w:rsidR="00A94644" w:rsidRPr="000A0353" w:rsidRDefault="00A94644" w:rsidP="00A94644">
      <w:pPr>
        <w:jc w:val="center"/>
        <w:rPr>
          <w:b/>
          <w:sz w:val="40"/>
          <w:szCs w:val="40"/>
        </w:rPr>
      </w:pPr>
      <w:r w:rsidRPr="000A0353">
        <w:rPr>
          <w:b/>
          <w:sz w:val="40"/>
          <w:szCs w:val="40"/>
        </w:rPr>
        <w:lastRenderedPageBreak/>
        <w:t>Understanding Poverty in San Marcos, Texas: A Comparativ</w:t>
      </w:r>
      <w:r w:rsidRPr="000A0353">
        <w:rPr>
          <w:rFonts w:hint="eastAsia"/>
          <w:b/>
          <w:sz w:val="40"/>
          <w:szCs w:val="40"/>
        </w:rPr>
        <w:t>e</w:t>
      </w:r>
      <w:r w:rsidRPr="000A0353">
        <w:rPr>
          <w:b/>
          <w:sz w:val="40"/>
          <w:szCs w:val="40"/>
        </w:rPr>
        <w:t xml:space="preserve"> Perspectiv</w:t>
      </w:r>
      <w:r w:rsidRPr="000A0353">
        <w:rPr>
          <w:rFonts w:hint="eastAsia"/>
          <w:b/>
          <w:sz w:val="40"/>
          <w:szCs w:val="40"/>
        </w:rPr>
        <w:t>e</w:t>
      </w:r>
    </w:p>
    <w:p w14:paraId="7A2AA9BC" w14:textId="3F2FBC4A" w:rsidR="003C14C8" w:rsidRDefault="003C14C8" w:rsidP="00DE191C">
      <w:pPr>
        <w:rPr>
          <w:b/>
        </w:rPr>
      </w:pPr>
    </w:p>
    <w:p w14:paraId="255748DD" w14:textId="1669E680" w:rsidR="003C14C8" w:rsidRDefault="003C14C8" w:rsidP="00DE191C">
      <w:pPr>
        <w:rPr>
          <w:b/>
        </w:rPr>
      </w:pPr>
    </w:p>
    <w:p w14:paraId="727B0E67" w14:textId="60BE59FE" w:rsidR="006C45D6" w:rsidRDefault="000A0353" w:rsidP="00DE191C">
      <w:pPr>
        <w:rPr>
          <w:b/>
        </w:rPr>
      </w:pPr>
      <w:r>
        <w:rPr>
          <w:b/>
        </w:rPr>
        <w:t>Introduction</w:t>
      </w:r>
    </w:p>
    <w:p w14:paraId="4AA96CC3" w14:textId="77777777" w:rsidR="000A0353" w:rsidRDefault="000A0353" w:rsidP="00DE191C">
      <w:pPr>
        <w:rPr>
          <w:b/>
        </w:rPr>
      </w:pPr>
    </w:p>
    <w:p w14:paraId="55DE59C6" w14:textId="198180FD" w:rsidR="00125053" w:rsidRDefault="00C65DDA" w:rsidP="006C45D6">
      <w:pPr>
        <w:spacing w:line="480" w:lineRule="auto"/>
        <w:ind w:firstLine="720"/>
      </w:pPr>
      <w:r>
        <w:t>In 2015</w:t>
      </w:r>
      <w:r w:rsidR="00CE3F6F">
        <w:t>,</w:t>
      </w:r>
      <w:r w:rsidR="00125053">
        <w:t xml:space="preserve"> San Marcos </w:t>
      </w:r>
      <w:r w:rsidR="00EA79BD">
        <w:t xml:space="preserve">marked </w:t>
      </w:r>
      <w:r w:rsidR="00CE3F6F">
        <w:t xml:space="preserve">a </w:t>
      </w:r>
      <w:r w:rsidR="00EA79BD">
        <w:t xml:space="preserve">third consecutive year </w:t>
      </w:r>
      <w:r w:rsidR="00CE3F6F">
        <w:t xml:space="preserve">with </w:t>
      </w:r>
      <w:r w:rsidR="00EA79BD">
        <w:t xml:space="preserve">the notable distinction </w:t>
      </w:r>
      <w:r>
        <w:t>of being the fas</w:t>
      </w:r>
      <w:r w:rsidR="00EA79BD">
        <w:t>test growing city in the US</w:t>
      </w:r>
      <w:r>
        <w:t xml:space="preserve"> (Davila 2015</w:t>
      </w:r>
      <w:r w:rsidR="001F2392">
        <w:t>).  D</w:t>
      </w:r>
      <w:r>
        <w:t xml:space="preserve">espite this </w:t>
      </w:r>
      <w:r w:rsidR="00EA79BD">
        <w:t xml:space="preserve">population </w:t>
      </w:r>
      <w:r>
        <w:t>growth</w:t>
      </w:r>
      <w:r w:rsidR="00EA79BD">
        <w:t>,</w:t>
      </w:r>
      <w:r w:rsidR="00125053">
        <w:t xml:space="preserve"> San Marcos also has the </w:t>
      </w:r>
      <w:r w:rsidR="00EA79BD">
        <w:t xml:space="preserve">unfortunate </w:t>
      </w:r>
      <w:r w:rsidR="00125053">
        <w:t xml:space="preserve">distinction of having nearly 40 percent of the population </w:t>
      </w:r>
      <w:r w:rsidR="001F2392">
        <w:t xml:space="preserve">living </w:t>
      </w:r>
      <w:r w:rsidR="00125053">
        <w:t xml:space="preserve">below </w:t>
      </w:r>
      <w:r w:rsidR="001F2392">
        <w:t xml:space="preserve">the federal </w:t>
      </w:r>
      <w:r w:rsidR="00125053">
        <w:t>poverty</w:t>
      </w:r>
      <w:r w:rsidR="001F2392">
        <w:t xml:space="preserve"> level</w:t>
      </w:r>
      <w:r w:rsidR="00125053">
        <w:t xml:space="preserve">.  </w:t>
      </w:r>
      <w:r w:rsidR="001F2392">
        <w:t>Headlines</w:t>
      </w:r>
      <w:r>
        <w:t xml:space="preserve"> like “In San Marcos, Poverty Rampant Despite Boom” </w:t>
      </w:r>
      <w:r w:rsidR="001F2392">
        <w:t xml:space="preserve">have </w:t>
      </w:r>
      <w:r>
        <w:t xml:space="preserve">appeared in national media outlets (Walsh 2014).  </w:t>
      </w:r>
      <w:r w:rsidR="00EA79BD">
        <w:t xml:space="preserve">These stories </w:t>
      </w:r>
      <w:r w:rsidR="00FD1759">
        <w:t xml:space="preserve">in part </w:t>
      </w:r>
      <w:r w:rsidR="00EA79BD">
        <w:t xml:space="preserve">shape perceptions </w:t>
      </w:r>
      <w:r w:rsidR="00FD1759">
        <w:t>of San Marcos and</w:t>
      </w:r>
      <w:r w:rsidR="00EA79BD">
        <w:t xml:space="preserve"> these p</w:t>
      </w:r>
      <w:r w:rsidR="00EA79BD" w:rsidRPr="00EA79BD">
        <w:t>erceptions influence decisions on business relocation and retent</w:t>
      </w:r>
      <w:r w:rsidR="00EA79BD">
        <w:t>ion,</w:t>
      </w:r>
      <w:r w:rsidR="00EA79BD" w:rsidRPr="00EA79BD">
        <w:t xml:space="preserve"> real estate development</w:t>
      </w:r>
      <w:r w:rsidR="00EA79BD">
        <w:t xml:space="preserve">, and the decisions of individuals and families seeking a new community in a </w:t>
      </w:r>
      <w:r w:rsidR="00FD1759">
        <w:t>fast-growing</w:t>
      </w:r>
      <w:r w:rsidR="00EA79BD">
        <w:t xml:space="preserve"> region.  </w:t>
      </w:r>
      <w:r w:rsidR="00EA79BD" w:rsidRPr="00EA79BD">
        <w:t xml:space="preserve"> </w:t>
      </w:r>
      <w:r>
        <w:t xml:space="preserve">While </w:t>
      </w:r>
      <w:r w:rsidR="001F2392">
        <w:t xml:space="preserve">there are some indicators of </w:t>
      </w:r>
      <w:r>
        <w:t>impr</w:t>
      </w:r>
      <w:r w:rsidR="00FD1759">
        <w:t>ovements in wages and employment in San Marcos (</w:t>
      </w:r>
      <w:r w:rsidR="00EA79BD">
        <w:t>Thorne 2017</w:t>
      </w:r>
      <w:r w:rsidR="005A25B9">
        <w:t>), poverty</w:t>
      </w:r>
      <w:r w:rsidR="00FD1759">
        <w:t xml:space="preserve"> </w:t>
      </w:r>
      <w:r>
        <w:t>persists</w:t>
      </w:r>
      <w:r w:rsidR="001F2392">
        <w:t xml:space="preserve"> and the reputation of San Marcos as a low-income community is potentially taking hold.  </w:t>
      </w:r>
    </w:p>
    <w:p w14:paraId="6DBE3A59" w14:textId="556B01BC" w:rsidR="00961A60" w:rsidRDefault="00FB317B" w:rsidP="006C45D6">
      <w:pPr>
        <w:spacing w:line="480" w:lineRule="auto"/>
        <w:ind w:firstLine="720"/>
      </w:pPr>
      <w:r>
        <w:t>In general, t</w:t>
      </w:r>
      <w:r w:rsidR="00C65DDA">
        <w:t xml:space="preserve">he poverty rate </w:t>
      </w:r>
      <w:r w:rsidR="0095222D">
        <w:t xml:space="preserve">in </w:t>
      </w:r>
      <w:r w:rsidR="00FD1759">
        <w:t xml:space="preserve">a college town </w:t>
      </w:r>
      <w:r w:rsidR="0095222D">
        <w:t xml:space="preserve">is </w:t>
      </w:r>
      <w:r w:rsidR="00A344C8">
        <w:t xml:space="preserve">“discounted” </w:t>
      </w:r>
      <w:r w:rsidR="00FD1759">
        <w:t>because</w:t>
      </w:r>
      <w:r w:rsidR="00A344C8">
        <w:t xml:space="preserve"> students are included in the US Census calculation of the poverty rate.  </w:t>
      </w:r>
      <w:r w:rsidR="002D6F52" w:rsidRPr="002D6F52">
        <w:t xml:space="preserve">Student poverty is </w:t>
      </w:r>
      <w:r w:rsidR="00FD1759">
        <w:t xml:space="preserve">indeed </w:t>
      </w:r>
      <w:r w:rsidR="002D6F52" w:rsidRPr="002D6F52">
        <w:t xml:space="preserve">different </w:t>
      </w:r>
      <w:r w:rsidR="00CE3F6F" w:rsidRPr="002D6F52">
        <w:t>from</w:t>
      </w:r>
      <w:r w:rsidR="002D6F52" w:rsidRPr="002D6F52">
        <w:t xml:space="preserve"> non-student poverty </w:t>
      </w:r>
      <w:r w:rsidR="002D6F52" w:rsidRPr="002D6F52">
        <w:rPr>
          <w:rFonts w:hint="eastAsia"/>
        </w:rPr>
        <w:t>because</w:t>
      </w:r>
      <w:r w:rsidR="00015C38">
        <w:t xml:space="preserve"> college student poverty</w:t>
      </w:r>
      <w:r w:rsidR="0043251C">
        <w:t xml:space="preserve"> </w:t>
      </w:r>
      <w:r w:rsidR="00015C38">
        <w:t xml:space="preserve">is viewed as a voluntary </w:t>
      </w:r>
      <w:r w:rsidR="0043251C">
        <w:t>a</w:t>
      </w:r>
      <w:r w:rsidR="00015C38">
        <w:t>nd</w:t>
      </w:r>
      <w:r w:rsidR="0043251C">
        <w:t xml:space="preserve"> temporary condition</w:t>
      </w:r>
      <w:r w:rsidR="00015C38">
        <w:t xml:space="preserve"> and is therefore not a public policy problem</w:t>
      </w:r>
      <w:r>
        <w:t xml:space="preserve"> </w:t>
      </w:r>
      <w:r w:rsidR="00FD1759">
        <w:t xml:space="preserve">but rather a condition of the </w:t>
      </w:r>
      <w:r w:rsidR="009469F0">
        <w:t>individual’s</w:t>
      </w:r>
      <w:r w:rsidR="00FD1759">
        <w:t xml:space="preserve"> student status</w:t>
      </w:r>
      <w:r>
        <w:t xml:space="preserve">.  </w:t>
      </w:r>
      <w:r w:rsidR="009469F0">
        <w:t>Students’ material needs are</w:t>
      </w:r>
      <w:r w:rsidR="00034A61">
        <w:t xml:space="preserve"> often assumed to be adequate</w:t>
      </w:r>
      <w:r w:rsidR="00CE3F6F">
        <w:t>ly met</w:t>
      </w:r>
      <w:r w:rsidR="00034A61">
        <w:t xml:space="preserve">; however, </w:t>
      </w:r>
      <w:r w:rsidR="009469F0">
        <w:t xml:space="preserve">there is </w:t>
      </w:r>
      <w:r w:rsidR="003D2283">
        <w:lastRenderedPageBreak/>
        <w:t>national evidence</w:t>
      </w:r>
      <w:r w:rsidR="005A25B9">
        <w:t xml:space="preserve"> that</w:t>
      </w:r>
      <w:r w:rsidR="009469F0">
        <w:t xml:space="preserve"> hunger and homelessness among college students</w:t>
      </w:r>
      <w:r w:rsidR="005A25B9">
        <w:t xml:space="preserve"> is a growing problem</w:t>
      </w:r>
      <w:r w:rsidR="009469F0">
        <w:t xml:space="preserve"> (Patton-Lopez</w:t>
      </w:r>
      <w:r w:rsidR="00A7514E">
        <w:t>, et.al.,</w:t>
      </w:r>
      <w:r w:rsidR="009469F0">
        <w:t xml:space="preserve"> 2014).</w:t>
      </w:r>
    </w:p>
    <w:p w14:paraId="319024ED" w14:textId="2780A360" w:rsidR="00C7304D" w:rsidRDefault="005A25B9" w:rsidP="005A25B9">
      <w:pPr>
        <w:spacing w:line="480" w:lineRule="auto"/>
        <w:ind w:firstLine="720"/>
      </w:pPr>
      <w:r>
        <w:t>C</w:t>
      </w:r>
      <w:r w:rsidR="0096057D">
        <w:t xml:space="preserve">ollege town </w:t>
      </w:r>
      <w:r w:rsidR="00961A60">
        <w:t xml:space="preserve">overall </w:t>
      </w:r>
      <w:r w:rsidR="0096057D">
        <w:t xml:space="preserve">poverty rates are </w:t>
      </w:r>
      <w:r w:rsidR="0096057D">
        <w:rPr>
          <w:rFonts w:hint="eastAsia"/>
        </w:rPr>
        <w:t>inaccurate</w:t>
      </w:r>
      <w:r w:rsidR="00015C38">
        <w:t xml:space="preserve"> and inflated</w:t>
      </w:r>
      <w:r>
        <w:t xml:space="preserve"> because students are included in this rate.  However, t</w:t>
      </w:r>
      <w:r w:rsidR="0096057D">
        <w:t xml:space="preserve">he extent </w:t>
      </w:r>
      <w:r w:rsidR="00CE3F6F">
        <w:t>to which</w:t>
      </w:r>
      <w:r w:rsidR="0096057D">
        <w:t xml:space="preserve"> </w:t>
      </w:r>
      <w:r w:rsidR="0095222D">
        <w:t xml:space="preserve">poverty </w:t>
      </w:r>
      <w:r w:rsidR="0096057D">
        <w:t xml:space="preserve">rates are skewed </w:t>
      </w:r>
      <w:r w:rsidR="0095222D">
        <w:t>is</w:t>
      </w:r>
      <w:r w:rsidR="0096057D">
        <w:t xml:space="preserve"> unknown</w:t>
      </w:r>
      <w:r w:rsidR="00FB317B">
        <w:t xml:space="preserve"> </w:t>
      </w:r>
      <w:r w:rsidR="00961A60">
        <w:t>and dependent on the characteristics of the community</w:t>
      </w:r>
      <w:r>
        <w:t xml:space="preserve"> and student and non-student populations</w:t>
      </w:r>
      <w:r w:rsidR="00961A60">
        <w:t xml:space="preserve">.  </w:t>
      </w:r>
      <w:r w:rsidR="0096057D">
        <w:t xml:space="preserve">This lack of information is problematic </w:t>
      </w:r>
      <w:r w:rsidR="0096057D">
        <w:rPr>
          <w:rFonts w:hint="eastAsia"/>
        </w:rPr>
        <w:t>because</w:t>
      </w:r>
      <w:r w:rsidR="0096057D">
        <w:t xml:space="preserve"> </w:t>
      </w:r>
      <w:r w:rsidR="00961A60">
        <w:t xml:space="preserve">policy </w:t>
      </w:r>
      <w:r w:rsidR="0096057D">
        <w:t>decisions</w:t>
      </w:r>
      <w:r w:rsidR="00961A60">
        <w:t xml:space="preserve"> are made</w:t>
      </w:r>
      <w:r w:rsidR="0096057D">
        <w:t xml:space="preserve"> based on poverty statistics. </w:t>
      </w:r>
      <w:r w:rsidR="00C7304D">
        <w:t xml:space="preserve"> For example, u</w:t>
      </w:r>
      <w:r>
        <w:t xml:space="preserve">nadjusted poverty rates </w:t>
      </w:r>
      <w:r w:rsidR="009E7EED">
        <w:t xml:space="preserve">may mask the </w:t>
      </w:r>
      <w:r w:rsidR="00961A60">
        <w:t>s</w:t>
      </w:r>
      <w:r w:rsidR="00B41FF3">
        <w:t xml:space="preserve">everity of the poverty problem or </w:t>
      </w:r>
      <w:r w:rsidR="00961A60">
        <w:t>fail to distinguish trends in college student and non-college student poverty</w:t>
      </w:r>
      <w:r w:rsidR="00B41FF3">
        <w:t>.</w:t>
      </w:r>
      <w:r w:rsidR="00961A60">
        <w:t xml:space="preserve">  There is a need for more accurate and conceptually distinct poverty statistics as well as comparative information that places poverty statistics into a community and region-specific context.</w:t>
      </w:r>
    </w:p>
    <w:p w14:paraId="7CC4CDC1" w14:textId="59965C3F" w:rsidR="00F6713E" w:rsidRPr="00F6713E" w:rsidRDefault="007B4D65" w:rsidP="005A25B9">
      <w:pPr>
        <w:spacing w:line="480" w:lineRule="auto"/>
        <w:ind w:firstLine="720"/>
      </w:pPr>
      <w:r>
        <w:t xml:space="preserve">The purpose of this study is to describe non-student poverty rates in San Marcos, Texas.  The </w:t>
      </w:r>
      <w:r w:rsidR="00BB7123">
        <w:t>following paragraphs</w:t>
      </w:r>
      <w:r>
        <w:t xml:space="preserve"> </w:t>
      </w:r>
      <w:r w:rsidR="009E7EED">
        <w:t>present a method for adjusting poverty statistics so that they take into account college student</w:t>
      </w:r>
      <w:r w:rsidR="00735B29">
        <w:t>s</w:t>
      </w:r>
      <w:r w:rsidR="009E7EED">
        <w:t xml:space="preserve"> and </w:t>
      </w:r>
      <w:r w:rsidR="00735B29">
        <w:t>calculate non-college</w:t>
      </w:r>
      <w:r w:rsidR="0066279A">
        <w:t xml:space="preserve">-student </w:t>
      </w:r>
      <w:r w:rsidR="00735B29">
        <w:t xml:space="preserve">and college-student </w:t>
      </w:r>
      <w:r w:rsidR="0066279A">
        <w:t>poverty</w:t>
      </w:r>
      <w:r w:rsidR="00735B29">
        <w:t xml:space="preserve"> rates</w:t>
      </w:r>
      <w:r w:rsidR="0066279A">
        <w:t xml:space="preserve">.  This method is applied to </w:t>
      </w:r>
      <w:r w:rsidR="005A25B9">
        <w:t>San Marcos, San Marcos Census Tracts, other cities in the Austin-San Marcos metropolitan area, c</w:t>
      </w:r>
      <w:r w:rsidR="0066279A">
        <w:t>ol</w:t>
      </w:r>
      <w:r w:rsidR="005A25B9">
        <w:t xml:space="preserve">lege towns in Texas, </w:t>
      </w:r>
      <w:r w:rsidR="0066279A">
        <w:t xml:space="preserve">and college towns located on the urban </w:t>
      </w:r>
      <w:r w:rsidR="0066279A">
        <w:rPr>
          <w:rFonts w:hint="eastAsia"/>
        </w:rPr>
        <w:t>periphery</w:t>
      </w:r>
      <w:r w:rsidR="00C067A4">
        <w:t xml:space="preserve"> of major and growing central cities.  </w:t>
      </w:r>
      <w:r w:rsidR="0066279A">
        <w:t xml:space="preserve"> </w:t>
      </w:r>
      <w:r w:rsidR="00735B29">
        <w:t>In addition, a Coll</w:t>
      </w:r>
      <w:r w:rsidR="005A25B9">
        <w:t>ege Town Index (CTI) is developed to facilitate</w:t>
      </w:r>
      <w:r w:rsidR="00735B29">
        <w:t xml:space="preserve"> comparisons with other Texas college towns.   </w:t>
      </w:r>
    </w:p>
    <w:p w14:paraId="000F4A82" w14:textId="645EC213" w:rsidR="00220501" w:rsidRDefault="0043251C" w:rsidP="00DE191C">
      <w:pPr>
        <w:rPr>
          <w:b/>
        </w:rPr>
      </w:pPr>
      <w:r w:rsidRPr="0043251C">
        <w:rPr>
          <w:b/>
        </w:rPr>
        <w:t>Data and Method</w:t>
      </w:r>
    </w:p>
    <w:p w14:paraId="75E46A7E" w14:textId="77777777" w:rsidR="006C45D6" w:rsidRPr="0043251C" w:rsidRDefault="006C45D6" w:rsidP="00DE191C">
      <w:pPr>
        <w:rPr>
          <w:b/>
        </w:rPr>
      </w:pPr>
    </w:p>
    <w:p w14:paraId="1FD882AF" w14:textId="178A9A63" w:rsidR="00735B29" w:rsidRDefault="00FF7479" w:rsidP="006C45D6">
      <w:pPr>
        <w:spacing w:line="480" w:lineRule="auto"/>
        <w:ind w:firstLine="720"/>
      </w:pPr>
      <w:r>
        <w:t>Each year t</w:t>
      </w:r>
      <w:r w:rsidR="0043251C">
        <w:t xml:space="preserve">he </w:t>
      </w:r>
      <w:r w:rsidR="00C067A4">
        <w:t>U</w:t>
      </w:r>
      <w:r w:rsidR="00A57990">
        <w:t>.</w:t>
      </w:r>
      <w:r w:rsidR="00C067A4">
        <w:t>S</w:t>
      </w:r>
      <w:r w:rsidR="00A57990">
        <w:t>.</w:t>
      </w:r>
      <w:r w:rsidR="00C067A4">
        <w:t xml:space="preserve"> Bureau of the Census conducts the </w:t>
      </w:r>
      <w:r w:rsidR="0043251C">
        <w:t>American Community Survey</w:t>
      </w:r>
      <w:r w:rsidR="00C067A4">
        <w:t xml:space="preserve"> </w:t>
      </w:r>
      <w:r w:rsidR="00F635C9">
        <w:t xml:space="preserve">(ACS) </w:t>
      </w:r>
      <w:r w:rsidR="00FA19BD">
        <w:t xml:space="preserve">based on a random sample of all addresses </w:t>
      </w:r>
      <w:r w:rsidR="00A57990">
        <w:t>in the U.S. and Puerto Rico</w:t>
      </w:r>
      <w:r w:rsidR="00C067A4">
        <w:t xml:space="preserve">.  </w:t>
      </w:r>
      <w:r w:rsidR="00A57990">
        <w:lastRenderedPageBreak/>
        <w:t>R</w:t>
      </w:r>
      <w:r w:rsidR="00803BC1">
        <w:t xml:space="preserve">andomly selected households are asked to </w:t>
      </w:r>
      <w:r w:rsidR="00A57990">
        <w:t>respond online, mail, or by phone.  Individuals who do not respond may be contacted by the U.S. Bureau of the Census to complete the survey (</w:t>
      </w:r>
      <w:r w:rsidR="00A7514E">
        <w:t xml:space="preserve">US </w:t>
      </w:r>
      <w:r w:rsidR="00653A72">
        <w:t>Bureau of the Census 20</w:t>
      </w:r>
      <w:r w:rsidR="00A57990">
        <w:t>17</w:t>
      </w:r>
      <w:r w:rsidR="00A7514E">
        <w:t>a</w:t>
      </w:r>
      <w:r w:rsidR="00A57990">
        <w:t xml:space="preserve">).  </w:t>
      </w:r>
      <w:r w:rsidR="00332DC9">
        <w:t xml:space="preserve">Because the ACS is based on a </w:t>
      </w:r>
      <w:r w:rsidR="00C067A4">
        <w:t xml:space="preserve">sample of residents, the data provided are </w:t>
      </w:r>
      <w:r w:rsidR="00F635C9">
        <w:t>estimates</w:t>
      </w:r>
      <w:r w:rsidR="00A57990">
        <w:t xml:space="preserve"> that have margins o</w:t>
      </w:r>
      <w:r w:rsidR="00BB7123">
        <w:t>f</w:t>
      </w:r>
      <w:r w:rsidR="00A57990">
        <w:t xml:space="preserve"> error</w:t>
      </w:r>
      <w:r w:rsidR="00C067A4">
        <w:t xml:space="preserve">.  </w:t>
      </w:r>
      <w:r w:rsidR="00BB7123">
        <w:t xml:space="preserve">Survey results </w:t>
      </w:r>
      <w:r w:rsidR="00C067A4">
        <w:t>are</w:t>
      </w:r>
      <w:r w:rsidR="00F635C9">
        <w:t xml:space="preserve"> </w:t>
      </w:r>
      <w:r w:rsidR="00A57990">
        <w:t>reported as one, three</w:t>
      </w:r>
      <w:r w:rsidR="00F635C9">
        <w:t>, and five-</w:t>
      </w:r>
      <w:r w:rsidR="00C067A4">
        <w:t xml:space="preserve">year </w:t>
      </w:r>
      <w:r w:rsidR="00F635C9">
        <w:t>estimates</w:t>
      </w:r>
      <w:r w:rsidR="00C067A4">
        <w:t xml:space="preserve">.  The </w:t>
      </w:r>
      <w:r w:rsidR="00F635C9">
        <w:t>five-year</w:t>
      </w:r>
      <w:r w:rsidR="00332DC9">
        <w:t xml:space="preserve"> estimates aggregate </w:t>
      </w:r>
      <w:r w:rsidR="00803BC1">
        <w:t>the responses for</w:t>
      </w:r>
      <w:r w:rsidR="00A57990">
        <w:t xml:space="preserve"> five years and </w:t>
      </w:r>
      <w:r w:rsidR="00F635C9">
        <w:t>the larger n</w:t>
      </w:r>
      <w:r w:rsidR="00A57990">
        <w:t xml:space="preserve">umber of respondents leads to </w:t>
      </w:r>
      <w:r w:rsidR="00332DC9">
        <w:t>smaller</w:t>
      </w:r>
      <w:r w:rsidR="00F635C9">
        <w:t xml:space="preserve"> margins of errors.</w:t>
      </w:r>
      <w:r w:rsidR="00A57990">
        <w:t xml:space="preserve">  Thus, the </w:t>
      </w:r>
      <w:r w:rsidR="00B750CC">
        <w:t>five-year</w:t>
      </w:r>
      <w:r w:rsidR="00A57990">
        <w:t xml:space="preserve"> </w:t>
      </w:r>
      <w:r w:rsidR="00B750CC">
        <w:t>estimates</w:t>
      </w:r>
      <w:r w:rsidR="00A57990">
        <w:t xml:space="preserve"> are the most reliable, but the least current </w:t>
      </w:r>
      <w:r w:rsidR="00BB7123">
        <w:t>source of community demographic data</w:t>
      </w:r>
      <w:r w:rsidR="00B41FF3">
        <w:t xml:space="preserve"> </w:t>
      </w:r>
      <w:r w:rsidR="00A57990">
        <w:t>(</w:t>
      </w:r>
      <w:r w:rsidR="00A7514E">
        <w:t xml:space="preserve">US </w:t>
      </w:r>
      <w:r w:rsidR="00653A72">
        <w:t xml:space="preserve">Bureau of the </w:t>
      </w:r>
      <w:r w:rsidR="00A7514E">
        <w:t xml:space="preserve">Census </w:t>
      </w:r>
      <w:r w:rsidR="00735B29">
        <w:t>2017</w:t>
      </w:r>
      <w:r w:rsidR="00A7514E">
        <w:t>b</w:t>
      </w:r>
      <w:r w:rsidR="00735B29">
        <w:t xml:space="preserve">). </w:t>
      </w:r>
    </w:p>
    <w:p w14:paraId="58031BCE" w14:textId="2C1FA3A2" w:rsidR="00C51153" w:rsidRDefault="00F635C9" w:rsidP="006C45D6">
      <w:pPr>
        <w:spacing w:line="480" w:lineRule="auto"/>
        <w:ind w:firstLine="720"/>
      </w:pPr>
      <w:r>
        <w:t>The ACS</w:t>
      </w:r>
      <w:r w:rsidR="0043251C">
        <w:t xml:space="preserve"> reports the number of individuals in poverty by </w:t>
      </w:r>
      <w:r w:rsidR="00410A96">
        <w:t>school enrol</w:t>
      </w:r>
      <w:r w:rsidR="00BB7123">
        <w:t>l</w:t>
      </w:r>
      <w:r w:rsidR="00410A96">
        <w:t xml:space="preserve">ment in </w:t>
      </w:r>
      <w:r w:rsidR="00803BC1">
        <w:t>“</w:t>
      </w:r>
      <w:r w:rsidR="00410A96">
        <w:t>Table B14006 Poverty Status in the Past 12 Months by School Enrollment by Level of School of the Population 3 years and Over.</w:t>
      </w:r>
      <w:r w:rsidR="00803BC1">
        <w:t>”</w:t>
      </w:r>
      <w:r>
        <w:t xml:space="preserve">  Two of the school enrollment categories</w:t>
      </w:r>
      <w:r w:rsidR="00BB7123">
        <w:t xml:space="preserve">, </w:t>
      </w:r>
      <w:r>
        <w:t>“Enrolled in college undergraduate years” and “Enrolled in graduate or p</w:t>
      </w:r>
      <w:r w:rsidR="009D0B0E">
        <w:t>rofessional school</w:t>
      </w:r>
      <w:r w:rsidR="00BB7123">
        <w:t>,</w:t>
      </w:r>
      <w:r w:rsidR="009D0B0E">
        <w:t>”</w:t>
      </w:r>
      <w:r w:rsidR="00BB7123">
        <w:t xml:space="preserve"> </w:t>
      </w:r>
      <w:r w:rsidR="009D0B0E">
        <w:t>are found i</w:t>
      </w:r>
      <w:r>
        <w:t>n Table B14006</w:t>
      </w:r>
      <w:r w:rsidR="00735B29">
        <w:t>.  These two categories allow</w:t>
      </w:r>
      <w:r w:rsidR="00410A96">
        <w:t xml:space="preserve"> for the </w:t>
      </w:r>
      <w:r w:rsidR="00410A96">
        <w:rPr>
          <w:rFonts w:hint="eastAsia"/>
        </w:rPr>
        <w:t>calculation</w:t>
      </w:r>
      <w:r w:rsidR="00410A96">
        <w:t xml:space="preserve"> of college student and non-college student poverty rates (Rorem and Juday 2016).  </w:t>
      </w:r>
    </w:p>
    <w:p w14:paraId="0A4E8548" w14:textId="75ACD3FB" w:rsidR="00C51153" w:rsidRDefault="00F635C9" w:rsidP="006C45D6">
      <w:pPr>
        <w:spacing w:line="480" w:lineRule="auto"/>
        <w:ind w:firstLine="720"/>
      </w:pPr>
      <w:r>
        <w:t>T</w:t>
      </w:r>
      <w:r w:rsidR="00C51153">
        <w:t>he US Census Bureau publishes a</w:t>
      </w:r>
      <w:r w:rsidR="009D0B0E">
        <w:t xml:space="preserve"> national </w:t>
      </w:r>
      <w:r w:rsidR="00332DC9">
        <w:t xml:space="preserve">federal </w:t>
      </w:r>
      <w:r w:rsidR="00C51153">
        <w:t xml:space="preserve">poverty </w:t>
      </w:r>
      <w:r w:rsidR="00332DC9">
        <w:t xml:space="preserve">income </w:t>
      </w:r>
      <w:r w:rsidR="00C51153">
        <w:t xml:space="preserve">level for the 48 contiguous states.  </w:t>
      </w:r>
      <w:r w:rsidR="00332DC9">
        <w:t>For example, i</w:t>
      </w:r>
      <w:r w:rsidR="00C51153">
        <w:t xml:space="preserve">n 2017, </w:t>
      </w:r>
      <w:r w:rsidR="002A2FD6">
        <w:t>an</w:t>
      </w:r>
      <w:r w:rsidR="00C51153">
        <w:t xml:space="preserve"> individual living alone wi</w:t>
      </w:r>
      <w:r w:rsidR="00332DC9">
        <w:t xml:space="preserve">th an income below $12,060 and a member of a </w:t>
      </w:r>
      <w:r w:rsidR="00C51153">
        <w:t xml:space="preserve">family of </w:t>
      </w:r>
      <w:r w:rsidR="002A2FD6">
        <w:t>f</w:t>
      </w:r>
      <w:r w:rsidR="00C51153">
        <w:t xml:space="preserve">our with a total household income below $24,600 </w:t>
      </w:r>
      <w:r w:rsidR="00332DC9">
        <w:t>are both classified as</w:t>
      </w:r>
      <w:r w:rsidR="002A2FD6">
        <w:t xml:space="preserve"> in poverty.  Table B14006 reports </w:t>
      </w:r>
      <w:r>
        <w:t>poverty among individuals (not households) and classifies a person as</w:t>
      </w:r>
      <w:r w:rsidR="009A0B3C">
        <w:t xml:space="preserve"> in poverty based on living in a household where the total number of residents and total income are determined to classify each resident as in poverty</w:t>
      </w:r>
      <w:r w:rsidR="002A2FD6">
        <w:t xml:space="preserve">.  </w:t>
      </w:r>
      <w:r w:rsidR="00251F92">
        <w:t>Thus,</w:t>
      </w:r>
      <w:r w:rsidR="002A2FD6">
        <w:t xml:space="preserve"> in the case o</w:t>
      </w:r>
      <w:r w:rsidR="00D26253">
        <w:t xml:space="preserve">f the </w:t>
      </w:r>
      <w:r w:rsidR="00D26253">
        <w:lastRenderedPageBreak/>
        <w:t xml:space="preserve">household of four people if the household reports a total household income of less than $24,600, </w:t>
      </w:r>
      <w:r w:rsidR="002A2FD6">
        <w:t xml:space="preserve">all four individuals would be </w:t>
      </w:r>
      <w:r w:rsidR="002A2FD6">
        <w:rPr>
          <w:rFonts w:hint="eastAsia"/>
        </w:rPr>
        <w:t>classified</w:t>
      </w:r>
      <w:r w:rsidR="002A2FD6">
        <w:t xml:space="preserve"> as in poverty and then sorted based on their school enrollment status.  </w:t>
      </w:r>
    </w:p>
    <w:p w14:paraId="7E50FAF5" w14:textId="3CCD95D5" w:rsidR="00332DC9" w:rsidRDefault="00332DC9" w:rsidP="00332DC9">
      <w:pPr>
        <w:spacing w:line="480" w:lineRule="auto"/>
        <w:ind w:firstLine="720"/>
      </w:pPr>
      <w:r>
        <w:t xml:space="preserve">Based on the ACS and the federal poverty threshold, the following </w:t>
      </w:r>
      <w:r w:rsidR="0089144A">
        <w:t>statistics can be calculated from Form B14006:</w:t>
      </w:r>
    </w:p>
    <w:p w14:paraId="35F9DFED" w14:textId="466DD239" w:rsidR="0089144A" w:rsidRDefault="00E23865" w:rsidP="00E23865">
      <w:pPr>
        <w:spacing w:line="480" w:lineRule="auto"/>
        <w:ind w:left="1440"/>
      </w:pPr>
      <w:r w:rsidRPr="00E23865">
        <w:rPr>
          <w:b/>
        </w:rPr>
        <w:t>Total Poverty Rate</w:t>
      </w:r>
      <w:r>
        <w:t>: The percent of all residents in households with incomes below the federal poverty level</w:t>
      </w:r>
    </w:p>
    <w:p w14:paraId="5C69E85E" w14:textId="77C0BBCC" w:rsidR="0089144A" w:rsidRDefault="00E23865" w:rsidP="00E23865">
      <w:pPr>
        <w:spacing w:line="480" w:lineRule="auto"/>
        <w:ind w:left="1440"/>
      </w:pPr>
      <w:r w:rsidRPr="00E23865">
        <w:rPr>
          <w:b/>
        </w:rPr>
        <w:t>Non-Student Poverty Rate</w:t>
      </w:r>
      <w:r>
        <w:t xml:space="preserve">:  The percent of non-college students in households below the federal poverty level  </w:t>
      </w:r>
    </w:p>
    <w:p w14:paraId="0F701A9E" w14:textId="5C2F3CF9" w:rsidR="0089144A" w:rsidRDefault="00E23865" w:rsidP="00E23865">
      <w:pPr>
        <w:spacing w:line="480" w:lineRule="auto"/>
        <w:ind w:left="1440"/>
      </w:pPr>
      <w:r w:rsidRPr="00E23865">
        <w:rPr>
          <w:b/>
        </w:rPr>
        <w:t>Student Poverty Rate</w:t>
      </w:r>
      <w:r>
        <w:t>:  The percent of college students in households below the federal poverty level</w:t>
      </w:r>
    </w:p>
    <w:p w14:paraId="678E30C9" w14:textId="77777777" w:rsidR="00134DD5" w:rsidRPr="002D6F52" w:rsidRDefault="00134DD5" w:rsidP="00DE191C"/>
    <w:p w14:paraId="224F5812" w14:textId="1F1DB9F1" w:rsidR="00705B97" w:rsidRDefault="00F6713E" w:rsidP="00803BC1">
      <w:pPr>
        <w:rPr>
          <w:b/>
        </w:rPr>
      </w:pPr>
      <w:r>
        <w:rPr>
          <w:b/>
        </w:rPr>
        <w:t>Results</w:t>
      </w:r>
      <w:r w:rsidR="00421698">
        <w:rPr>
          <w:b/>
        </w:rPr>
        <w:tab/>
      </w:r>
    </w:p>
    <w:p w14:paraId="52731CF4" w14:textId="77777777" w:rsidR="00803BC1" w:rsidRPr="00803BC1" w:rsidRDefault="00803BC1" w:rsidP="00803BC1">
      <w:pPr>
        <w:rPr>
          <w:b/>
        </w:rPr>
      </w:pPr>
    </w:p>
    <w:p w14:paraId="7642AA4C" w14:textId="455DE4C0" w:rsidR="00E70BC5" w:rsidRDefault="00F6713E" w:rsidP="00DE191C">
      <w:pPr>
        <w:rPr>
          <w:i/>
        </w:rPr>
      </w:pPr>
      <w:r>
        <w:rPr>
          <w:i/>
        </w:rPr>
        <w:t>Poverty in San Marcos, Texas</w:t>
      </w:r>
    </w:p>
    <w:p w14:paraId="3D1847FB" w14:textId="77777777" w:rsidR="00134DD5" w:rsidRDefault="00134DD5" w:rsidP="00DE191C">
      <w:pPr>
        <w:rPr>
          <w:i/>
        </w:rPr>
      </w:pPr>
    </w:p>
    <w:p w14:paraId="031130B9" w14:textId="3D2C09CA" w:rsidR="00B65336" w:rsidRDefault="00B65336" w:rsidP="00B65336">
      <w:pPr>
        <w:spacing w:line="480" w:lineRule="auto"/>
        <w:ind w:firstLine="720"/>
      </w:pPr>
      <w:r w:rsidRPr="00B65336">
        <w:t>The estimated overall poverty rate for all residents in San Marcos has remained stable at 37%</w:t>
      </w:r>
      <w:r w:rsidR="00BB7123">
        <w:t>, as shown by the comparison of</w:t>
      </w:r>
      <w:r w:rsidRPr="00B65336">
        <w:t xml:space="preserve"> 2006-2010 </w:t>
      </w:r>
      <w:r w:rsidR="00BB7123">
        <w:t>and</w:t>
      </w:r>
      <w:r w:rsidR="00BB7123" w:rsidRPr="00B65336">
        <w:t xml:space="preserve"> </w:t>
      </w:r>
      <w:r w:rsidRPr="00B65336">
        <w:t xml:space="preserve">2011-2015 estimates </w:t>
      </w:r>
      <w:r w:rsidR="00BB7123">
        <w:t>in</w:t>
      </w:r>
      <w:r>
        <w:t xml:space="preserve"> Figure 1</w:t>
      </w:r>
      <w:r w:rsidRPr="00B65336">
        <w:t xml:space="preserve">.  </w:t>
      </w:r>
      <w:r w:rsidR="00803BC1">
        <w:t>While the overall poverty rate is high, the rate has</w:t>
      </w:r>
      <w:r w:rsidRPr="00B65336">
        <w:t xml:space="preserve"> remained stable during a period marked by a sustained recession</w:t>
      </w:r>
      <w:r w:rsidR="00A74FCD">
        <w:t>, and rapid population growth</w:t>
      </w:r>
      <w:r w:rsidRPr="00B65336">
        <w:t xml:space="preserve">.  </w:t>
      </w:r>
      <w:r>
        <w:t xml:space="preserve"> </w:t>
      </w:r>
      <w:r w:rsidRPr="00B65336">
        <w:t>However, as suggested above, t</w:t>
      </w:r>
      <w:r w:rsidR="00BA5AB9">
        <w:t>he overall poverty rate masks differences</w:t>
      </w:r>
      <w:r w:rsidRPr="00B65336">
        <w:t xml:space="preserve"> in</w:t>
      </w:r>
      <w:r w:rsidR="00BA5AB9">
        <w:t xml:space="preserve"> the</w:t>
      </w:r>
      <w:r w:rsidRPr="00B65336">
        <w:t xml:space="preserve"> poverty </w:t>
      </w:r>
      <w:r w:rsidR="00BA5AB9">
        <w:t xml:space="preserve">rates </w:t>
      </w:r>
      <w:r w:rsidRPr="00B65336">
        <w:t xml:space="preserve">among students and non-students.  </w:t>
      </w:r>
      <w:r>
        <w:t>T</w:t>
      </w:r>
      <w:r w:rsidRPr="00B05326">
        <w:t>he non-student estim</w:t>
      </w:r>
      <w:r>
        <w:t>ated poverty rate increased from 19</w:t>
      </w:r>
      <w:r w:rsidRPr="00B05326">
        <w:t xml:space="preserve">% </w:t>
      </w:r>
      <w:r>
        <w:t xml:space="preserve">in 2006-2010 to 23% in 2011-2015, a 28% percent increase (see Figure 1).  </w:t>
      </w:r>
      <w:r w:rsidR="0062501D">
        <w:t>In the 2011-2015 estimate data, t</w:t>
      </w:r>
      <w:r>
        <w:t xml:space="preserve">he actual poverty rate is </w:t>
      </w:r>
      <w:r w:rsidR="00BA5AB9">
        <w:t>9</w:t>
      </w:r>
      <w:r w:rsidR="0062501D">
        <w:t xml:space="preserve">% </w:t>
      </w:r>
      <w:r w:rsidR="00A74FCD">
        <w:t xml:space="preserve">lower </w:t>
      </w:r>
      <w:r w:rsidR="009B6F6C">
        <w:t>(</w:t>
      </w:r>
      <w:r w:rsidR="00A74FCD">
        <w:t xml:space="preserve">from </w:t>
      </w:r>
      <w:r w:rsidR="009B6F6C">
        <w:t xml:space="preserve">39% </w:t>
      </w:r>
      <w:r w:rsidR="00A74FCD">
        <w:t>to</w:t>
      </w:r>
      <w:r w:rsidR="009B6F6C">
        <w:t xml:space="preserve"> 28%) </w:t>
      </w:r>
      <w:r w:rsidR="0062501D">
        <w:t>when it is adjusted by removing studen</w:t>
      </w:r>
      <w:r w:rsidR="009B6F6C">
        <w:t xml:space="preserve">ts from the calculation of the </w:t>
      </w:r>
      <w:r w:rsidR="0062501D">
        <w:t xml:space="preserve">poverty rate.  </w:t>
      </w:r>
    </w:p>
    <w:p w14:paraId="6F3CA4F2" w14:textId="0CB46C5E" w:rsidR="009B4951" w:rsidRDefault="009B6F6C" w:rsidP="006C45D6">
      <w:pPr>
        <w:spacing w:line="480" w:lineRule="auto"/>
        <w:ind w:firstLine="720"/>
      </w:pPr>
      <w:r>
        <w:lastRenderedPageBreak/>
        <w:t>T</w:t>
      </w:r>
      <w:r w:rsidR="00B05326" w:rsidRPr="00B05326">
        <w:rPr>
          <w:rFonts w:hint="eastAsia"/>
        </w:rPr>
        <w:t xml:space="preserve">he </w:t>
      </w:r>
      <w:r w:rsidR="00B05326">
        <w:t xml:space="preserve">City of </w:t>
      </w:r>
      <w:r w:rsidR="00B05326" w:rsidRPr="00B05326">
        <w:t xml:space="preserve">San Marcos </w:t>
      </w:r>
      <w:r w:rsidR="00B05326">
        <w:t xml:space="preserve">college </w:t>
      </w:r>
      <w:r w:rsidR="00B05326" w:rsidRPr="00B05326">
        <w:t>student poverty</w:t>
      </w:r>
      <w:r w:rsidR="00C13840">
        <w:t xml:space="preserve"> rate </w:t>
      </w:r>
      <w:r w:rsidR="004878C3">
        <w:t xml:space="preserve">decreased </w:t>
      </w:r>
      <w:r w:rsidR="00DD3064">
        <w:t>(</w:t>
      </w:r>
      <w:r w:rsidR="004878C3">
        <w:t>from 72</w:t>
      </w:r>
      <w:r w:rsidR="00AE406B">
        <w:t xml:space="preserve"> percent in 2006</w:t>
      </w:r>
      <w:r w:rsidR="009B4404">
        <w:t>-201</w:t>
      </w:r>
      <w:r w:rsidR="00AE406B">
        <w:t>0</w:t>
      </w:r>
      <w:r w:rsidR="009B4404">
        <w:t xml:space="preserve"> estimate</w:t>
      </w:r>
      <w:r w:rsidR="009B4951">
        <w:t xml:space="preserve"> </w:t>
      </w:r>
      <w:r w:rsidR="00A74FCD">
        <w:t xml:space="preserve">to </w:t>
      </w:r>
      <w:r w:rsidR="009B4951">
        <w:t xml:space="preserve">62 percent in </w:t>
      </w:r>
      <w:r w:rsidR="009B4404">
        <w:t>201</w:t>
      </w:r>
      <w:r w:rsidR="00AE406B">
        <w:t>1</w:t>
      </w:r>
      <w:r w:rsidR="009B4404">
        <w:t>-</w:t>
      </w:r>
      <w:r w:rsidR="009B4951">
        <w:t>2015</w:t>
      </w:r>
      <w:r w:rsidR="009B4404">
        <w:t xml:space="preserve"> estimate</w:t>
      </w:r>
      <w:r w:rsidR="009B4951">
        <w:t>)</w:t>
      </w:r>
      <w:r>
        <w:t xml:space="preserve"> (see </w:t>
      </w:r>
      <w:r w:rsidR="00A74FCD">
        <w:t xml:space="preserve">Figure </w:t>
      </w:r>
      <w:r>
        <w:t>1)</w:t>
      </w:r>
      <w:r w:rsidR="00B05326" w:rsidRPr="00B05326">
        <w:t xml:space="preserve">. </w:t>
      </w:r>
      <w:r w:rsidR="00C624CD">
        <w:t xml:space="preserve"> </w:t>
      </w:r>
      <w:r w:rsidR="009B4951">
        <w:t>The finding that college s</w:t>
      </w:r>
      <w:r w:rsidR="004878C3">
        <w:t>tudent poverty rates have decr</w:t>
      </w:r>
      <w:r w:rsidR="007606A4">
        <w:t xml:space="preserve">eased </w:t>
      </w:r>
      <w:r>
        <w:t>10</w:t>
      </w:r>
      <w:r w:rsidR="00E126C4">
        <w:t xml:space="preserve">% </w:t>
      </w:r>
      <w:r>
        <w:t>(</w:t>
      </w:r>
      <w:r w:rsidR="00A74FCD">
        <w:t xml:space="preserve">from </w:t>
      </w:r>
      <w:r>
        <w:t xml:space="preserve">72% </w:t>
      </w:r>
      <w:r w:rsidR="00A74FCD">
        <w:t xml:space="preserve">to </w:t>
      </w:r>
      <w:r>
        <w:t xml:space="preserve">62%) </w:t>
      </w:r>
      <w:r w:rsidR="00E126C4">
        <w:t xml:space="preserve">across the two five-year estimates may </w:t>
      </w:r>
      <w:r w:rsidR="007606A4">
        <w:t xml:space="preserve">be due to shifting </w:t>
      </w:r>
      <w:r w:rsidR="00B05326">
        <w:t xml:space="preserve">motivations and </w:t>
      </w:r>
      <w:r w:rsidR="00B05326">
        <w:rPr>
          <w:rFonts w:hint="eastAsia"/>
        </w:rPr>
        <w:t>opportunity</w:t>
      </w:r>
      <w:r w:rsidR="00B05326">
        <w:t xml:space="preserve"> structures </w:t>
      </w:r>
      <w:r w:rsidR="004878C3">
        <w:t>for employment</w:t>
      </w:r>
      <w:r w:rsidR="00FC0145" w:rsidRPr="00FC0145">
        <w:t xml:space="preserve"> (Roberts 2009; 1977).  </w:t>
      </w:r>
      <w:r w:rsidR="00E23865">
        <w:t xml:space="preserve">It is </w:t>
      </w:r>
      <w:r w:rsidR="00FC0145">
        <w:t>possible</w:t>
      </w:r>
      <w:r w:rsidR="00E23865">
        <w:t>, for example,</w:t>
      </w:r>
      <w:r w:rsidR="00FC0145">
        <w:t xml:space="preserve"> that </w:t>
      </w:r>
      <w:r w:rsidR="004878C3">
        <w:t xml:space="preserve">earnings have improved for part-time employment and </w:t>
      </w:r>
      <w:r w:rsidR="00E23865">
        <w:t xml:space="preserve">for </w:t>
      </w:r>
      <w:r w:rsidR="004878C3">
        <w:t>the types of jobs that are attractive to students</w:t>
      </w:r>
      <w:r w:rsidR="00B05326">
        <w:t xml:space="preserve">.  </w:t>
      </w:r>
      <w:r w:rsidR="00FC0145">
        <w:t xml:space="preserve">The Amazon.com fulfillment center in San Marcos was projected to bring over 1,000 jobs to San Marcos.  Many of these jobs are for fulfillment/warehouse associates and are offered as part time and seasonal jobs that are attractive to students.  Amazon.com advertises for applicants in the Texas State University student newspaper.  </w:t>
      </w:r>
    </w:p>
    <w:p w14:paraId="5898BA94" w14:textId="67871484" w:rsidR="00B05326" w:rsidRDefault="00DB4120" w:rsidP="007606A4">
      <w:pPr>
        <w:spacing w:line="480" w:lineRule="auto"/>
        <w:ind w:firstLine="720"/>
      </w:pPr>
      <w:r>
        <w:t>Thus</w:t>
      </w:r>
      <w:r w:rsidR="00B05326" w:rsidRPr="00B05326">
        <w:t xml:space="preserve">, the </w:t>
      </w:r>
      <w:r>
        <w:t xml:space="preserve">overall </w:t>
      </w:r>
      <w:r w:rsidR="00B05326" w:rsidRPr="00B05326">
        <w:t xml:space="preserve">poverty rate </w:t>
      </w:r>
      <w:r w:rsidR="0062501D">
        <w:t xml:space="preserve">in San Marcos </w:t>
      </w:r>
      <w:r w:rsidR="007606A4">
        <w:t>has remained stable and this stability is accounted for by the decrease in the student poverty rate coinciding with an increase</w:t>
      </w:r>
      <w:r w:rsidR="00B05326" w:rsidRPr="00B05326">
        <w:t xml:space="preserve"> in the non-student poverty rate.</w:t>
      </w:r>
      <w:r w:rsidR="00807D94">
        <w:t xml:space="preserve">  </w:t>
      </w:r>
    </w:p>
    <w:p w14:paraId="4603DBA0" w14:textId="346BDC1E" w:rsidR="0028120B" w:rsidRPr="00DB4120" w:rsidRDefault="0028120B" w:rsidP="00AF7D6C">
      <w:pPr>
        <w:spacing w:line="480" w:lineRule="auto"/>
      </w:pPr>
    </w:p>
    <w:p w14:paraId="0DA2419F" w14:textId="0B6E0C1F" w:rsidR="0028120B" w:rsidRDefault="0028120B" w:rsidP="00DE191C">
      <w:pPr>
        <w:rPr>
          <w:b/>
        </w:rPr>
      </w:pPr>
    </w:p>
    <w:p w14:paraId="17D3B4AB" w14:textId="5A0C9874" w:rsidR="00AF7D6C" w:rsidRDefault="00AF7D6C" w:rsidP="00DE191C">
      <w:pPr>
        <w:rPr>
          <w:b/>
        </w:rPr>
      </w:pPr>
      <w:r>
        <w:rPr>
          <w:noProof/>
        </w:rPr>
        <w:lastRenderedPageBreak/>
        <w:drawing>
          <wp:inline distT="0" distB="0" distL="0" distR="0" wp14:anchorId="30418D62" wp14:editId="5DD9AA03">
            <wp:extent cx="5167313" cy="3555207"/>
            <wp:effectExtent l="0" t="0" r="14605" b="7620"/>
            <wp:docPr id="9" name="Chart 9">
              <a:extLst xmlns:a="http://schemas.openxmlformats.org/drawingml/2006/main">
                <a:ext uri="{FF2B5EF4-FFF2-40B4-BE49-F238E27FC236}">
                  <a16:creationId xmlns:a16="http://schemas.microsoft.com/office/drawing/2014/main" id="{47243D84-820A-4862-A7C3-6FD372AE56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629094" w14:textId="77777777" w:rsidR="00E70BC5" w:rsidRDefault="00E70BC5" w:rsidP="00DE191C">
      <w:pPr>
        <w:rPr>
          <w:b/>
        </w:rPr>
      </w:pPr>
    </w:p>
    <w:p w14:paraId="2E1621FE" w14:textId="76485C3A" w:rsidR="00A01F9A" w:rsidRPr="00421698" w:rsidRDefault="009B6F6C" w:rsidP="006C45D6">
      <w:pPr>
        <w:spacing w:line="480" w:lineRule="auto"/>
        <w:ind w:firstLine="720"/>
      </w:pPr>
      <w:r>
        <w:t>T</w:t>
      </w:r>
      <w:r w:rsidR="007D1E19">
        <w:t>here is some evidence of</w:t>
      </w:r>
      <w:r>
        <w:t xml:space="preserve"> changes</w:t>
      </w:r>
      <w:r w:rsidR="007D1E19">
        <w:t xml:space="preserve"> in the geospatial distribution of poverty</w:t>
      </w:r>
      <w:r w:rsidR="00A74FCD">
        <w:t xml:space="preserve"> in San Marcos</w:t>
      </w:r>
      <w:r w:rsidR="00A01F9A">
        <w:t xml:space="preserve">.  </w:t>
      </w:r>
      <w:r>
        <w:t xml:space="preserve">In other words, where people in poverty live.  </w:t>
      </w:r>
      <w:r w:rsidR="00A01F9A">
        <w:t xml:space="preserve">Poverty has greater negative effects on individuals </w:t>
      </w:r>
      <w:r w:rsidR="00B65478">
        <w:t xml:space="preserve">(e.g., health, education, and family) </w:t>
      </w:r>
      <w:r w:rsidR="00A01F9A">
        <w:t xml:space="preserve">and communities </w:t>
      </w:r>
      <w:r w:rsidR="00B65478">
        <w:t>(</w:t>
      </w:r>
      <w:r w:rsidR="00A74FCD">
        <w:t xml:space="preserve">e.g., </w:t>
      </w:r>
      <w:r w:rsidR="00B65478">
        <w:t xml:space="preserve">crime, overall spending, civic involvement) </w:t>
      </w:r>
      <w:r w:rsidR="00A01F9A">
        <w:t xml:space="preserve">when those in poverty </w:t>
      </w:r>
      <w:r w:rsidR="00A74FCD">
        <w:t xml:space="preserve">reside in </w:t>
      </w:r>
      <w:r w:rsidR="00A01F9A">
        <w:t>concentrated geographic areas</w:t>
      </w:r>
      <w:r w:rsidR="007D1E19">
        <w:t xml:space="preserve"> (</w:t>
      </w:r>
      <w:r w:rsidR="00B65478">
        <w:t xml:space="preserve">Valdez, et al. 2007; Auchinclos, et al, 2002; South, et al. 1999; </w:t>
      </w:r>
      <w:r w:rsidR="007D1E19">
        <w:t>Joassart-Marcelli</w:t>
      </w:r>
      <w:r w:rsidR="00647F63">
        <w:t xml:space="preserve"> 2008</w:t>
      </w:r>
      <w:r w:rsidR="00B65478">
        <w:t>; Alex-Assensoh 1997</w:t>
      </w:r>
      <w:r w:rsidR="00647F63">
        <w:t>)</w:t>
      </w:r>
      <w:r w:rsidR="00A01F9A">
        <w:t>.  Concentrated poverty refers to a spatial density of socio-economic depravation and is d</w:t>
      </w:r>
      <w:r w:rsidR="00F14C7A">
        <w:t>efined by the US Bureau of the Census as census tracts</w:t>
      </w:r>
      <w:r w:rsidR="00A01F9A">
        <w:t xml:space="preserve"> with “40 percent of the census tract population living b</w:t>
      </w:r>
      <w:r w:rsidR="00507E60">
        <w:t>elow the federal poverty level</w:t>
      </w:r>
      <w:r w:rsidR="00F14C7A">
        <w:t>.”</w:t>
      </w:r>
    </w:p>
    <w:p w14:paraId="3546F571" w14:textId="77371407" w:rsidR="000E732E" w:rsidRDefault="000E732E" w:rsidP="00D20D19">
      <w:pPr>
        <w:spacing w:line="480" w:lineRule="auto"/>
        <w:ind w:firstLine="720"/>
      </w:pPr>
      <w:r w:rsidRPr="000E732E">
        <w:t>Table 1 re</w:t>
      </w:r>
      <w:r>
        <w:t>ports the number of San Marcos census t</w:t>
      </w:r>
      <w:r w:rsidRPr="000E732E">
        <w:t xml:space="preserve">racts with </w:t>
      </w:r>
      <w:r w:rsidR="00BD46F5">
        <w:t>“</w:t>
      </w:r>
      <w:r w:rsidRPr="000E732E">
        <w:t>concentrated poverty.</w:t>
      </w:r>
      <w:r w:rsidR="00BD46F5">
        <w:t>”</w:t>
      </w:r>
      <w:r w:rsidRPr="000E732E">
        <w:t xml:space="preserve">  In </w:t>
      </w:r>
      <w:r w:rsidR="00D23EE5">
        <w:t>the 2011-</w:t>
      </w:r>
      <w:r w:rsidRPr="000E732E">
        <w:t>2015</w:t>
      </w:r>
      <w:r w:rsidR="00D23EE5">
        <w:t xml:space="preserve"> estimate</w:t>
      </w:r>
      <w:r w:rsidRPr="000E732E">
        <w:t xml:space="preserve">, three census tracts </w:t>
      </w:r>
      <w:r>
        <w:t xml:space="preserve">in San Marcos </w:t>
      </w:r>
      <w:r w:rsidRPr="000E732E">
        <w:t>met the definition of concentrated poverty</w:t>
      </w:r>
      <w:r w:rsidR="009B6F6C">
        <w:t xml:space="preserve"> using the overall poverty rate</w:t>
      </w:r>
      <w:r w:rsidR="00C95304">
        <w:t xml:space="preserve">, compared to four census tracts that met the threshold for </w:t>
      </w:r>
      <w:r w:rsidR="00674380">
        <w:t>concentrated</w:t>
      </w:r>
      <w:r w:rsidR="00C95304">
        <w:t xml:space="preserve"> </w:t>
      </w:r>
      <w:r w:rsidR="00674380">
        <w:t>poverty</w:t>
      </w:r>
      <w:r w:rsidR="00C95304">
        <w:t xml:space="preserve"> in 20</w:t>
      </w:r>
      <w:r w:rsidR="00674380">
        <w:t>06-2010.</w:t>
      </w:r>
      <w:r w:rsidRPr="000E732E">
        <w:t xml:space="preserve">  </w:t>
      </w:r>
      <w:r w:rsidR="00A74FCD">
        <w:t>W</w:t>
      </w:r>
      <w:r w:rsidRPr="000E732E">
        <w:t xml:space="preserve">hen </w:t>
      </w:r>
      <w:r w:rsidRPr="000E732E">
        <w:lastRenderedPageBreak/>
        <w:t xml:space="preserve">non-student poverty rates are calculated, only </w:t>
      </w:r>
      <w:r>
        <w:t>one census tract in San Marcos exceeds the concentrated poverty</w:t>
      </w:r>
      <w:r w:rsidR="00507E60">
        <w:t xml:space="preserve"> threshold</w:t>
      </w:r>
      <w:r w:rsidR="00674380">
        <w:t xml:space="preserve"> during both time periods</w:t>
      </w:r>
      <w:r>
        <w:t>.</w:t>
      </w:r>
      <w:r w:rsidR="00BD46F5">
        <w:t xml:space="preserve">  </w:t>
      </w:r>
      <w:r w:rsidR="00507E60">
        <w:t>However, the one concentrated poverty census tract has shi</w:t>
      </w:r>
      <w:r w:rsidR="00D31FCC">
        <w:t>fted from Census Tract 103.03</w:t>
      </w:r>
      <w:r w:rsidR="00507E60">
        <w:t xml:space="preserve"> (roughly the Blanco</w:t>
      </w:r>
      <w:r w:rsidR="000C74BC">
        <w:t xml:space="preserve"> Gardens </w:t>
      </w:r>
      <w:r w:rsidR="00507E60">
        <w:t xml:space="preserve">neighborhood) </w:t>
      </w:r>
      <w:r w:rsidR="00D23EE5">
        <w:t xml:space="preserve">in the 2006-2010 estimate </w:t>
      </w:r>
      <w:r w:rsidR="00D31FCC">
        <w:t>to Census Tract 103.04</w:t>
      </w:r>
      <w:r w:rsidR="00507E60">
        <w:t xml:space="preserve"> (roughly the Millview East and Millview West neighborhoods)</w:t>
      </w:r>
      <w:r w:rsidR="00D23EE5">
        <w:t xml:space="preserve"> in the 2011-2015 estimate</w:t>
      </w:r>
      <w:r w:rsidR="00507E60">
        <w:t xml:space="preserve">.  </w:t>
      </w:r>
    </w:p>
    <w:p w14:paraId="7E42C923" w14:textId="77777777" w:rsidR="000E732E" w:rsidRDefault="000E732E" w:rsidP="00DE191C"/>
    <w:p w14:paraId="632B42CB" w14:textId="77777777" w:rsidR="000E732E" w:rsidRPr="000E732E" w:rsidRDefault="000E732E" w:rsidP="00DE191C"/>
    <w:p w14:paraId="2222E2EB" w14:textId="77777777" w:rsidR="00A01F9A" w:rsidRPr="000E732E" w:rsidRDefault="00A01F9A" w:rsidP="00DE191C"/>
    <w:tbl>
      <w:tblPr>
        <w:tblW w:w="8760" w:type="dxa"/>
        <w:tblBorders>
          <w:right w:val="single" w:sz="8" w:space="0" w:color="FFFFFF"/>
          <w:insideV w:val="single" w:sz="6" w:space="0" w:color="FFFFFF"/>
        </w:tblBorders>
        <w:tblCellMar>
          <w:left w:w="0" w:type="dxa"/>
          <w:right w:w="0" w:type="dxa"/>
        </w:tblCellMar>
        <w:tblLook w:val="0420" w:firstRow="1" w:lastRow="0" w:firstColumn="0" w:lastColumn="0" w:noHBand="0" w:noVBand="1"/>
      </w:tblPr>
      <w:tblGrid>
        <w:gridCol w:w="2920"/>
        <w:gridCol w:w="2920"/>
        <w:gridCol w:w="2920"/>
      </w:tblGrid>
      <w:tr w:rsidR="000E732E" w:rsidRPr="000E732E" w14:paraId="7C0DEF63" w14:textId="77777777" w:rsidTr="00895BD8">
        <w:trPr>
          <w:trHeight w:val="584"/>
        </w:trPr>
        <w:tc>
          <w:tcPr>
            <w:tcW w:w="8760" w:type="dxa"/>
            <w:gridSpan w:val="3"/>
            <w:tcBorders>
              <w:top w:val="single" w:sz="8" w:space="0" w:color="FFFFFF"/>
              <w:left w:val="single" w:sz="8" w:space="0" w:color="FFFFFF"/>
              <w:bottom w:val="single" w:sz="8" w:space="0" w:color="FFFFFF"/>
            </w:tcBorders>
            <w:shd w:val="clear" w:color="auto" w:fill="auto"/>
            <w:tcMar>
              <w:top w:w="72" w:type="dxa"/>
              <w:left w:w="144" w:type="dxa"/>
              <w:bottom w:w="72" w:type="dxa"/>
              <w:right w:w="144" w:type="dxa"/>
            </w:tcMar>
            <w:hideMark/>
          </w:tcPr>
          <w:p w14:paraId="6AACA39F" w14:textId="7D567B7C" w:rsidR="000E732E" w:rsidRPr="000E732E" w:rsidRDefault="000E732E" w:rsidP="000E732E">
            <w:pPr>
              <w:rPr>
                <w:b/>
              </w:rPr>
            </w:pPr>
            <w:r>
              <w:rPr>
                <w:b/>
                <w:bCs/>
              </w:rPr>
              <w:t xml:space="preserve">Table 1:  </w:t>
            </w:r>
            <w:r w:rsidRPr="000E732E">
              <w:rPr>
                <w:b/>
                <w:bCs/>
              </w:rPr>
              <w:t>Number of Concentrated Poverty Census Tracts</w:t>
            </w:r>
          </w:p>
        </w:tc>
      </w:tr>
      <w:tr w:rsidR="000E732E" w:rsidRPr="000E732E" w14:paraId="65EBDF57" w14:textId="77777777" w:rsidTr="00895BD8">
        <w:trPr>
          <w:trHeight w:val="584"/>
        </w:trPr>
        <w:tc>
          <w:tcPr>
            <w:tcW w:w="29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DA5A6FF" w14:textId="77777777" w:rsidR="000E732E" w:rsidRPr="000E732E" w:rsidRDefault="000E732E" w:rsidP="000E732E">
            <w:pPr>
              <w:rPr>
                <w:b/>
              </w:rPr>
            </w:pPr>
            <w:r w:rsidRPr="000E732E">
              <w:rPr>
                <w:b/>
              </w:rPr>
              <w:t>Year</w:t>
            </w:r>
          </w:p>
        </w:tc>
        <w:tc>
          <w:tcPr>
            <w:tcW w:w="29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7044C32" w14:textId="77777777" w:rsidR="000E732E" w:rsidRPr="000E732E" w:rsidRDefault="000E732E" w:rsidP="000E732E">
            <w:pPr>
              <w:rPr>
                <w:b/>
              </w:rPr>
            </w:pPr>
            <w:r w:rsidRPr="000E732E">
              <w:rPr>
                <w:b/>
              </w:rPr>
              <w:t>Overall</w:t>
            </w:r>
          </w:p>
        </w:tc>
        <w:tc>
          <w:tcPr>
            <w:tcW w:w="2920" w:type="dxa"/>
            <w:tcBorders>
              <w:top w:val="single" w:sz="8" w:space="0" w:color="FFFFFF"/>
              <w:left w:val="single" w:sz="8" w:space="0" w:color="FFFFFF"/>
              <w:bottom w:val="single" w:sz="8" w:space="0" w:color="FFFFFF"/>
            </w:tcBorders>
            <w:shd w:val="clear" w:color="auto" w:fill="auto"/>
            <w:tcMar>
              <w:top w:w="72" w:type="dxa"/>
              <w:left w:w="144" w:type="dxa"/>
              <w:bottom w:w="72" w:type="dxa"/>
              <w:right w:w="144" w:type="dxa"/>
            </w:tcMar>
            <w:hideMark/>
          </w:tcPr>
          <w:p w14:paraId="1AEBDF8D" w14:textId="77777777" w:rsidR="000E732E" w:rsidRPr="000E732E" w:rsidRDefault="000E732E" w:rsidP="000E732E">
            <w:pPr>
              <w:rPr>
                <w:b/>
              </w:rPr>
            </w:pPr>
            <w:r w:rsidRPr="000E732E">
              <w:rPr>
                <w:b/>
              </w:rPr>
              <w:t>Non-Student</w:t>
            </w:r>
          </w:p>
        </w:tc>
      </w:tr>
      <w:tr w:rsidR="000E732E" w:rsidRPr="000E732E" w14:paraId="759E3C78" w14:textId="77777777" w:rsidTr="00895BD8">
        <w:trPr>
          <w:trHeight w:val="584"/>
        </w:trPr>
        <w:tc>
          <w:tcPr>
            <w:tcW w:w="29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4E3F283" w14:textId="5923F4F6" w:rsidR="000E732E" w:rsidRPr="000E732E" w:rsidRDefault="00AE406B" w:rsidP="000E732E">
            <w:pPr>
              <w:rPr>
                <w:b/>
              </w:rPr>
            </w:pPr>
            <w:r>
              <w:rPr>
                <w:b/>
              </w:rPr>
              <w:t>2006-</w:t>
            </w:r>
            <w:r w:rsidR="000E732E" w:rsidRPr="000E732E">
              <w:rPr>
                <w:b/>
              </w:rPr>
              <w:t>2010</w:t>
            </w:r>
          </w:p>
        </w:tc>
        <w:tc>
          <w:tcPr>
            <w:tcW w:w="29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7DB4043" w14:textId="77777777" w:rsidR="000E732E" w:rsidRPr="000E732E" w:rsidRDefault="000E732E" w:rsidP="000E732E">
            <w:pPr>
              <w:rPr>
                <w:b/>
              </w:rPr>
            </w:pPr>
            <w:r w:rsidRPr="000E732E">
              <w:rPr>
                <w:b/>
              </w:rPr>
              <w:t>4</w:t>
            </w:r>
          </w:p>
        </w:tc>
        <w:tc>
          <w:tcPr>
            <w:tcW w:w="2920" w:type="dxa"/>
            <w:tcBorders>
              <w:top w:val="single" w:sz="8" w:space="0" w:color="FFFFFF"/>
              <w:left w:val="single" w:sz="8" w:space="0" w:color="FFFFFF"/>
              <w:bottom w:val="single" w:sz="8" w:space="0" w:color="FFFFFF"/>
            </w:tcBorders>
            <w:shd w:val="clear" w:color="auto" w:fill="auto"/>
            <w:tcMar>
              <w:top w:w="72" w:type="dxa"/>
              <w:left w:w="144" w:type="dxa"/>
              <w:bottom w:w="72" w:type="dxa"/>
              <w:right w:w="144" w:type="dxa"/>
            </w:tcMar>
            <w:hideMark/>
          </w:tcPr>
          <w:p w14:paraId="113D3EC8" w14:textId="77777777" w:rsidR="000E732E" w:rsidRPr="000E732E" w:rsidRDefault="000E732E" w:rsidP="000E732E">
            <w:pPr>
              <w:rPr>
                <w:b/>
              </w:rPr>
            </w:pPr>
            <w:r w:rsidRPr="000E732E">
              <w:rPr>
                <w:b/>
              </w:rPr>
              <w:t>1</w:t>
            </w:r>
          </w:p>
        </w:tc>
      </w:tr>
      <w:tr w:rsidR="000E732E" w:rsidRPr="000E732E" w14:paraId="649B0386" w14:textId="77777777" w:rsidTr="00895BD8">
        <w:trPr>
          <w:trHeight w:val="584"/>
        </w:trPr>
        <w:tc>
          <w:tcPr>
            <w:tcW w:w="29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282C22D" w14:textId="79E89C1D" w:rsidR="000E732E" w:rsidRPr="000E732E" w:rsidRDefault="00AE406B" w:rsidP="000E732E">
            <w:pPr>
              <w:rPr>
                <w:b/>
              </w:rPr>
            </w:pPr>
            <w:r>
              <w:rPr>
                <w:b/>
              </w:rPr>
              <w:t>2011-</w:t>
            </w:r>
            <w:r w:rsidR="000E732E" w:rsidRPr="000E732E">
              <w:rPr>
                <w:b/>
              </w:rPr>
              <w:t>2015</w:t>
            </w:r>
          </w:p>
        </w:tc>
        <w:tc>
          <w:tcPr>
            <w:tcW w:w="292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D60187A" w14:textId="77777777" w:rsidR="000E732E" w:rsidRPr="000E732E" w:rsidRDefault="000E732E" w:rsidP="000E732E">
            <w:pPr>
              <w:rPr>
                <w:b/>
              </w:rPr>
            </w:pPr>
            <w:r w:rsidRPr="000E732E">
              <w:rPr>
                <w:b/>
              </w:rPr>
              <w:t>3</w:t>
            </w:r>
          </w:p>
        </w:tc>
        <w:tc>
          <w:tcPr>
            <w:tcW w:w="2920" w:type="dxa"/>
            <w:tcBorders>
              <w:top w:val="single" w:sz="8" w:space="0" w:color="FFFFFF"/>
              <w:left w:val="single" w:sz="8" w:space="0" w:color="FFFFFF"/>
              <w:bottom w:val="single" w:sz="8" w:space="0" w:color="FFFFFF"/>
            </w:tcBorders>
            <w:shd w:val="clear" w:color="auto" w:fill="auto"/>
            <w:tcMar>
              <w:top w:w="72" w:type="dxa"/>
              <w:left w:w="144" w:type="dxa"/>
              <w:bottom w:w="72" w:type="dxa"/>
              <w:right w:w="144" w:type="dxa"/>
            </w:tcMar>
            <w:hideMark/>
          </w:tcPr>
          <w:p w14:paraId="6A98023E" w14:textId="77777777" w:rsidR="000E732E" w:rsidRPr="000E732E" w:rsidRDefault="000E732E" w:rsidP="000E732E">
            <w:pPr>
              <w:rPr>
                <w:b/>
              </w:rPr>
            </w:pPr>
            <w:r w:rsidRPr="000E732E">
              <w:rPr>
                <w:b/>
              </w:rPr>
              <w:t>1</w:t>
            </w:r>
          </w:p>
        </w:tc>
      </w:tr>
    </w:tbl>
    <w:p w14:paraId="5A544A92" w14:textId="77777777" w:rsidR="00A01F9A" w:rsidRDefault="00A01F9A" w:rsidP="00DE191C">
      <w:pPr>
        <w:rPr>
          <w:b/>
        </w:rPr>
      </w:pPr>
    </w:p>
    <w:p w14:paraId="6EBDB30E" w14:textId="77777777" w:rsidR="00A01F9A" w:rsidRDefault="00A01F9A" w:rsidP="00DE191C">
      <w:pPr>
        <w:rPr>
          <w:b/>
        </w:rPr>
      </w:pPr>
    </w:p>
    <w:p w14:paraId="7E8B0F20" w14:textId="77777777" w:rsidR="00A01F9A" w:rsidRDefault="00A01F9A" w:rsidP="00DE191C">
      <w:pPr>
        <w:rPr>
          <w:b/>
        </w:rPr>
      </w:pPr>
    </w:p>
    <w:p w14:paraId="447344CA" w14:textId="20222C71" w:rsidR="00DE191C" w:rsidRDefault="00EF0A3A" w:rsidP="00DE191C">
      <w:pPr>
        <w:rPr>
          <w:i/>
        </w:rPr>
      </w:pPr>
      <w:r>
        <w:rPr>
          <w:i/>
        </w:rPr>
        <w:t>Austin-</w:t>
      </w:r>
      <w:r w:rsidR="00D00E3D">
        <w:rPr>
          <w:i/>
        </w:rPr>
        <w:t>Round Rock</w:t>
      </w:r>
      <w:r w:rsidR="00C152B4">
        <w:rPr>
          <w:i/>
        </w:rPr>
        <w:t xml:space="preserve"> </w:t>
      </w:r>
      <w:r w:rsidR="00D00E3D">
        <w:rPr>
          <w:i/>
        </w:rPr>
        <w:t>Metro Area Comparisons</w:t>
      </w:r>
    </w:p>
    <w:p w14:paraId="56D66553" w14:textId="77777777" w:rsidR="006C45D6" w:rsidRDefault="006C45D6" w:rsidP="00DE191C">
      <w:pPr>
        <w:rPr>
          <w:b/>
        </w:rPr>
      </w:pPr>
    </w:p>
    <w:p w14:paraId="6E15E0DE" w14:textId="228342BA" w:rsidR="00194E0C" w:rsidRDefault="00194E0C" w:rsidP="006C45D6">
      <w:pPr>
        <w:spacing w:line="480" w:lineRule="auto"/>
        <w:ind w:firstLine="720"/>
      </w:pPr>
      <w:r w:rsidRPr="00194E0C">
        <w:t>Additional ins</w:t>
      </w:r>
      <w:r w:rsidR="00D20D19">
        <w:t>ight</w:t>
      </w:r>
      <w:r w:rsidRPr="00194E0C">
        <w:t xml:space="preserve"> into the estimated non-student poverty rate in San Marcos </w:t>
      </w:r>
      <w:r w:rsidR="00AD29BD">
        <w:t>is</w:t>
      </w:r>
      <w:r w:rsidRPr="00194E0C">
        <w:t xml:space="preserve"> gained by co</w:t>
      </w:r>
      <w:r>
        <w:t>mparing other cities over 25,000 population</w:t>
      </w:r>
      <w:r w:rsidR="00C152B4">
        <w:t xml:space="preserve"> in the Austin-</w:t>
      </w:r>
      <w:r w:rsidRPr="00194E0C">
        <w:t>Round Rock metropolitan</w:t>
      </w:r>
      <w:r w:rsidR="00D20D19">
        <w:t xml:space="preserve"> area (Georgetown, Leander, Cedar Park, Kyle, Round Rock, and Pflugerville)</w:t>
      </w:r>
      <w:r w:rsidR="001F592A">
        <w:t xml:space="preserve">.   None of these other Austin </w:t>
      </w:r>
      <w:r w:rsidR="00E664F9">
        <w:t>m</w:t>
      </w:r>
      <w:r w:rsidR="001F592A">
        <w:t xml:space="preserve">etro </w:t>
      </w:r>
      <w:r w:rsidR="00E664F9">
        <w:t xml:space="preserve">area cities </w:t>
      </w:r>
      <w:r w:rsidR="009B6F6C">
        <w:t>has</w:t>
      </w:r>
      <w:r w:rsidR="00D20D19">
        <w:t xml:space="preserve"> a major university</w:t>
      </w:r>
      <w:r w:rsidR="00CF1BAA">
        <w:t>; however</w:t>
      </w:r>
      <w:r>
        <w:t>, these cities ar</w:t>
      </w:r>
      <w:r w:rsidR="008D5B89">
        <w:t>e influenced by the same trends in the regional economy</w:t>
      </w:r>
      <w:r>
        <w:t xml:space="preserve">.  </w:t>
      </w:r>
      <w:r w:rsidR="008D5B89">
        <w:t>Rapidly increasing housing prices and rents has resulted in g</w:t>
      </w:r>
      <w:r>
        <w:t>entri</w:t>
      </w:r>
      <w:r w:rsidR="0061672A">
        <w:t xml:space="preserve">fication in Austin </w:t>
      </w:r>
      <w:r w:rsidR="008D5B89">
        <w:t xml:space="preserve">where </w:t>
      </w:r>
      <w:r>
        <w:t>housing</w:t>
      </w:r>
      <w:r w:rsidR="0091191C">
        <w:t xml:space="preserve"> costs (including property taxes)</w:t>
      </w:r>
      <w:r>
        <w:t xml:space="preserve"> </w:t>
      </w:r>
      <w:r w:rsidR="00AD29BD">
        <w:t xml:space="preserve">are </w:t>
      </w:r>
      <w:r w:rsidR="008D5B89">
        <w:t xml:space="preserve">priced </w:t>
      </w:r>
      <w:r>
        <w:t>out of the range of</w:t>
      </w:r>
      <w:r w:rsidR="0091191C">
        <w:t xml:space="preserve"> residents on a fixed income and, increasingly, </w:t>
      </w:r>
      <w:r>
        <w:t>middle</w:t>
      </w:r>
      <w:r w:rsidR="0061672A">
        <w:t xml:space="preserve"> and low-income families.   One</w:t>
      </w:r>
      <w:r>
        <w:t xml:space="preserve"> </w:t>
      </w:r>
      <w:r>
        <w:lastRenderedPageBreak/>
        <w:t>consequenc</w:t>
      </w:r>
      <w:r w:rsidR="0061672A">
        <w:t xml:space="preserve">e of gentrification is </w:t>
      </w:r>
      <w:r>
        <w:t>the “subu</w:t>
      </w:r>
      <w:r w:rsidR="0061672A">
        <w:t>rbanization of poverty</w:t>
      </w:r>
      <w:r w:rsidR="00E717C7">
        <w:t xml:space="preserve">,” </w:t>
      </w:r>
      <w:r w:rsidR="0061672A">
        <w:t>where low-income individuals</w:t>
      </w:r>
      <w:r w:rsidR="00AD29BD">
        <w:t xml:space="preserve"> and families</w:t>
      </w:r>
      <w:r w:rsidR="0061672A">
        <w:t xml:space="preserve"> move to suburbs where there is more affordable housing (Howell and Timberlake 2013</w:t>
      </w:r>
      <w:r>
        <w:t xml:space="preserve">).  </w:t>
      </w:r>
      <w:r w:rsidR="00BC79D2">
        <w:t xml:space="preserve">If </w:t>
      </w:r>
      <w:r w:rsidR="00187359">
        <w:t xml:space="preserve">other </w:t>
      </w:r>
      <w:r w:rsidR="00BC79D2" w:rsidRPr="00194E0C">
        <w:t xml:space="preserve">cities </w:t>
      </w:r>
      <w:r w:rsidR="00BC79D2">
        <w:t xml:space="preserve">in </w:t>
      </w:r>
      <w:r w:rsidR="00AD29BD">
        <w:t xml:space="preserve">the </w:t>
      </w:r>
      <w:r w:rsidR="00E717C7">
        <w:t>Austin metro area show similar</w:t>
      </w:r>
      <w:r w:rsidR="00BC79D2">
        <w:t xml:space="preserve"> increase</w:t>
      </w:r>
      <w:r w:rsidR="00E717C7">
        <w:t>s</w:t>
      </w:r>
      <w:r w:rsidR="00BC79D2">
        <w:t xml:space="preserve"> in non-college student poverty, this would be tentative evidence of</w:t>
      </w:r>
      <w:r w:rsidR="00E717C7">
        <w:t xml:space="preserve"> the suburbanization of poverty and point to one possible reason for the increase in the San Marcos non-student poverty rate.  </w:t>
      </w:r>
    </w:p>
    <w:p w14:paraId="33C7733C" w14:textId="22A75CE9" w:rsidR="00194E0C" w:rsidRDefault="00194E0C" w:rsidP="006C45D6">
      <w:pPr>
        <w:spacing w:line="480" w:lineRule="auto"/>
        <w:ind w:firstLine="720"/>
      </w:pPr>
      <w:r>
        <w:t xml:space="preserve">Figure 2 </w:t>
      </w:r>
      <w:r w:rsidRPr="00194E0C">
        <w:t xml:space="preserve">presents the estimated non-student poverty rate for suburbs </w:t>
      </w:r>
      <w:r w:rsidR="007C43B7">
        <w:t xml:space="preserve">over 25,000 population in the </w:t>
      </w:r>
      <w:r w:rsidRPr="00194E0C">
        <w:t>Austin</w:t>
      </w:r>
      <w:r w:rsidR="007C43B7">
        <w:t xml:space="preserve"> metropolitan area</w:t>
      </w:r>
      <w:r w:rsidRPr="00194E0C">
        <w:t>.</w:t>
      </w:r>
      <w:r w:rsidR="00C316EE">
        <w:t xml:space="preserve">     San Marcos had a non-college student poverty rate of 23 percent in </w:t>
      </w:r>
      <w:r w:rsidR="00321303">
        <w:t>the 2011-</w:t>
      </w:r>
      <w:r w:rsidR="00C316EE">
        <w:t>2015</w:t>
      </w:r>
      <w:r w:rsidR="00321303">
        <w:t xml:space="preserve"> estimate</w:t>
      </w:r>
      <w:r w:rsidR="00AD29BD">
        <w:t>, a higher non-student poverty rate than other large suburbs in the metropolitan area</w:t>
      </w:r>
      <w:r w:rsidR="00C316EE">
        <w:t>.  The average non-</w:t>
      </w:r>
      <w:r w:rsidR="00187359">
        <w:t>college student poverty rate in</w:t>
      </w:r>
      <w:r w:rsidR="00C316EE">
        <w:t xml:space="preserve"> </w:t>
      </w:r>
      <w:r w:rsidR="00AD29BD">
        <w:t xml:space="preserve">the </w:t>
      </w:r>
      <w:r w:rsidR="00C316EE">
        <w:t xml:space="preserve">other six large metro area suburbs is 6 .7 percent in </w:t>
      </w:r>
      <w:r w:rsidR="00321303">
        <w:t>the 2011-</w:t>
      </w:r>
      <w:r w:rsidR="00C316EE">
        <w:t>2015</w:t>
      </w:r>
      <w:r w:rsidR="00321303">
        <w:t xml:space="preserve"> estimate</w:t>
      </w:r>
      <w:r w:rsidR="00C316EE">
        <w:t xml:space="preserve">.  </w:t>
      </w:r>
      <w:r w:rsidR="00187359">
        <w:t xml:space="preserve">Thus, even taking students out of the calculation of the poverty rate, San Marcos has a much higher percentage of poor residents than other suburbs.  </w:t>
      </w:r>
    </w:p>
    <w:p w14:paraId="15A14B88" w14:textId="77777777" w:rsidR="00194E0C" w:rsidRDefault="00194E0C" w:rsidP="006C45D6">
      <w:pPr>
        <w:spacing w:line="480" w:lineRule="auto"/>
      </w:pPr>
    </w:p>
    <w:p w14:paraId="6E66DCD4" w14:textId="080431D4" w:rsidR="00194E0C" w:rsidRDefault="00D30FCD" w:rsidP="006C45D6">
      <w:pPr>
        <w:spacing w:line="480" w:lineRule="auto"/>
      </w:pPr>
      <w:r>
        <w:rPr>
          <w:noProof/>
        </w:rPr>
        <w:lastRenderedPageBreak/>
        <w:drawing>
          <wp:inline distT="0" distB="0" distL="0" distR="0" wp14:anchorId="485D38F4" wp14:editId="18B46C21">
            <wp:extent cx="5486400" cy="3427730"/>
            <wp:effectExtent l="0" t="0" r="0" b="1270"/>
            <wp:docPr id="1" name="Chart 1">
              <a:extLst xmlns:a="http://schemas.openxmlformats.org/drawingml/2006/main">
                <a:ext uri="{FF2B5EF4-FFF2-40B4-BE49-F238E27FC236}">
                  <a16:creationId xmlns:a16="http://schemas.microsoft.com/office/drawing/2014/main" id="{FF066535-8F48-4302-9B14-44DF221CCA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32B662" w14:textId="379699B9" w:rsidR="00194E0C" w:rsidRDefault="00194E0C" w:rsidP="00194E0C"/>
    <w:p w14:paraId="6821A940" w14:textId="77777777" w:rsidR="00194E0C" w:rsidRPr="00194E0C" w:rsidRDefault="00194E0C" w:rsidP="00194E0C"/>
    <w:p w14:paraId="059C925A" w14:textId="531C59EB" w:rsidR="00194E0C" w:rsidRDefault="00AD29BD" w:rsidP="00895BD8">
      <w:pPr>
        <w:spacing w:line="480" w:lineRule="auto"/>
        <w:ind w:firstLine="720"/>
      </w:pPr>
      <w:r>
        <w:t>Between 2006-2010 and 2011-2015, t</w:t>
      </w:r>
      <w:r w:rsidR="00C316EE">
        <w:t>he non-college student poverty rate in San Marcos</w:t>
      </w:r>
      <w:r w:rsidR="00D30FCD">
        <w:t xml:space="preserve"> grew by 21</w:t>
      </w:r>
      <w:r w:rsidR="004E258D">
        <w:t>%</w:t>
      </w:r>
      <w:r w:rsidR="00C316EE">
        <w:t>,</w:t>
      </w:r>
      <w:r w:rsidR="004E258D">
        <w:t xml:space="preserve"> compared to</w:t>
      </w:r>
      <w:r w:rsidR="00C316EE">
        <w:t xml:space="preserve"> </w:t>
      </w:r>
      <w:r w:rsidR="00D30FCD">
        <w:t>67</w:t>
      </w:r>
      <w:r w:rsidR="004E258D">
        <w:t xml:space="preserve">% in </w:t>
      </w:r>
      <w:r w:rsidR="00C316EE">
        <w:t xml:space="preserve">Round Rock.  </w:t>
      </w:r>
      <w:r w:rsidR="00D30FCD">
        <w:t>The other suburbs in the metro area</w:t>
      </w:r>
      <w:r w:rsidR="00C316EE">
        <w:t xml:space="preserve"> have stable </w:t>
      </w:r>
      <w:r w:rsidR="00194E0C" w:rsidRPr="00194E0C">
        <w:t xml:space="preserve">non-student poverty rates. </w:t>
      </w:r>
      <w:r w:rsidR="00A01F9A">
        <w:t xml:space="preserve">  Without additional research, only ten</w:t>
      </w:r>
      <w:r w:rsidR="00F846F1">
        <w:t>tative conclusions can be drawn</w:t>
      </w:r>
      <w:r>
        <w:t>;</w:t>
      </w:r>
      <w:r w:rsidR="00F846F1">
        <w:t xml:space="preserve"> however, there is some evidence for the effects of the suburbanization of poverty in San Marcos.  T</w:t>
      </w:r>
      <w:r w:rsidR="00A01F9A">
        <w:t xml:space="preserve">he </w:t>
      </w:r>
      <w:r w:rsidR="00D30FCD">
        <w:t>other city with an incre</w:t>
      </w:r>
      <w:r w:rsidR="00A01F9A">
        <w:t>asing non-</w:t>
      </w:r>
      <w:r w:rsidR="00D30FCD">
        <w:t>student poverty rates (Round Rock) is a larger community</w:t>
      </w:r>
      <w:r w:rsidR="00A01F9A">
        <w:t xml:space="preserve"> with a larger supply of homes and apartments that might be affordable to middle and low-income familie</w:t>
      </w:r>
      <w:r w:rsidR="00DF3885">
        <w:t xml:space="preserve">s and individuals.  San Marcos </w:t>
      </w:r>
      <w:r w:rsidR="00A01F9A">
        <w:t xml:space="preserve">likely has </w:t>
      </w:r>
      <w:r w:rsidR="0091191C">
        <w:t>a larger</w:t>
      </w:r>
      <w:r w:rsidR="00A01F9A">
        <w:t xml:space="preserve"> </w:t>
      </w:r>
      <w:r w:rsidR="00F846F1">
        <w:t xml:space="preserve">supply of lower quality housing stock </w:t>
      </w:r>
      <w:r w:rsidR="00A01F9A">
        <w:t>and apart</w:t>
      </w:r>
      <w:r w:rsidR="00F846F1">
        <w:t xml:space="preserve">ments </w:t>
      </w:r>
      <w:r w:rsidR="0091191C">
        <w:t>due to the presence of housing units that</w:t>
      </w:r>
      <w:r w:rsidR="00F846F1">
        <w:t xml:space="preserve"> served as student housing </w:t>
      </w:r>
      <w:r w:rsidR="00A01F9A">
        <w:t>in the past.</w:t>
      </w:r>
      <w:r w:rsidR="00F846F1">
        <w:t xml:space="preserve">  </w:t>
      </w:r>
      <w:r w:rsidR="00A01F9A">
        <w:t xml:space="preserve">   </w:t>
      </w:r>
      <w:r w:rsidR="0091191C">
        <w:t xml:space="preserve">It is possible </w:t>
      </w:r>
      <w:r w:rsidR="00187359">
        <w:t xml:space="preserve">that </w:t>
      </w:r>
      <w:r w:rsidR="00CB65C2">
        <w:t xml:space="preserve">less desirable </w:t>
      </w:r>
      <w:r w:rsidR="00247A6E">
        <w:t xml:space="preserve">student housing is being vacated by students as they move to new apartment complexes that </w:t>
      </w:r>
      <w:r w:rsidR="00247A6E">
        <w:lastRenderedPageBreak/>
        <w:t xml:space="preserve">offer </w:t>
      </w:r>
      <w:r w:rsidR="00895BD8">
        <w:t xml:space="preserve">in-demand </w:t>
      </w:r>
      <w:r w:rsidR="00247A6E">
        <w:t>ame</w:t>
      </w:r>
      <w:r w:rsidR="00895BD8">
        <w:t>nities</w:t>
      </w:r>
      <w:r w:rsidR="00187359">
        <w:t xml:space="preserve">. </w:t>
      </w:r>
      <w:r w:rsidR="00CB65C2">
        <w:t xml:space="preserve">  More research on</w:t>
      </w:r>
      <w:r w:rsidR="00895BD8">
        <w:t xml:space="preserve"> these hypotheses is necessary before firm conclusions can be drawn.</w:t>
      </w:r>
    </w:p>
    <w:p w14:paraId="74364191" w14:textId="77777777" w:rsidR="00DE191C" w:rsidRDefault="00DE191C" w:rsidP="00DE191C">
      <w:pPr>
        <w:rPr>
          <w:b/>
        </w:rPr>
      </w:pPr>
    </w:p>
    <w:p w14:paraId="3EFD4247" w14:textId="4F92425B" w:rsidR="007426F0" w:rsidRDefault="007426F0">
      <w:pPr>
        <w:rPr>
          <w:i/>
        </w:rPr>
      </w:pPr>
      <w:r w:rsidRPr="00705B97">
        <w:rPr>
          <w:i/>
        </w:rPr>
        <w:t>College Towns on the Urban Periphery</w:t>
      </w:r>
    </w:p>
    <w:p w14:paraId="79F9FD3C" w14:textId="77777777" w:rsidR="006C45D6" w:rsidRPr="00421698" w:rsidRDefault="006C45D6">
      <w:pPr>
        <w:rPr>
          <w:i/>
        </w:rPr>
      </w:pPr>
    </w:p>
    <w:p w14:paraId="14E479A8" w14:textId="3D8BD45A" w:rsidR="007426F0" w:rsidRDefault="00895BD8" w:rsidP="006C45D6">
      <w:pPr>
        <w:spacing w:line="480" w:lineRule="auto"/>
        <w:ind w:firstLine="720"/>
      </w:pPr>
      <w:r w:rsidRPr="00895BD8">
        <w:t xml:space="preserve">While these comparisons other metro area suburbs are useful, it may be more appropriate to compare San Marcos to other college towns located in large and growing metro areas. </w:t>
      </w:r>
      <w:r>
        <w:t xml:space="preserve"> </w:t>
      </w:r>
      <w:r w:rsidR="000E732E">
        <w:t>To determine if the</w:t>
      </w:r>
      <w:r w:rsidR="004264FC">
        <w:t xml:space="preserve"> patterns observed in San Marcos are occurring in other similarly </w:t>
      </w:r>
      <w:r w:rsidR="00AD29BD">
        <w:t xml:space="preserve">situated </w:t>
      </w:r>
      <w:r w:rsidR="004264FC">
        <w:t xml:space="preserve">college towns, a peer group of college towns was identified.  </w:t>
      </w:r>
      <w:r w:rsidR="000E732E">
        <w:t xml:space="preserve"> </w:t>
      </w:r>
      <w:r w:rsidR="004264FC">
        <w:t xml:space="preserve">The criteria </w:t>
      </w:r>
      <w:r w:rsidR="00247A6E">
        <w:t>used to select peer college towns include</w:t>
      </w:r>
      <w:r>
        <w:t>: (</w:t>
      </w:r>
      <w:r w:rsidR="00247A6E">
        <w:t>1)</w:t>
      </w:r>
      <w:r w:rsidR="004264FC">
        <w:t xml:space="preserve"> </w:t>
      </w:r>
      <w:r w:rsidR="00247A6E">
        <w:t>location in a metropolitan area</w:t>
      </w:r>
      <w:r w:rsidR="00AD29BD">
        <w:t>,</w:t>
      </w:r>
      <w:r w:rsidR="00247A6E">
        <w:t xml:space="preserve"> (2)</w:t>
      </w:r>
      <w:r w:rsidR="004264FC">
        <w:t xml:space="preserve"> a large student population with the potential for a significant percentage of student housing</w:t>
      </w:r>
      <w:r w:rsidR="00AD29BD">
        <w:t xml:space="preserve">, </w:t>
      </w:r>
      <w:r w:rsidR="004264FC">
        <w:t xml:space="preserve">and </w:t>
      </w:r>
      <w:r w:rsidR="00247A6E">
        <w:t xml:space="preserve">(3) </w:t>
      </w:r>
      <w:r>
        <w:t xml:space="preserve">proximity to a </w:t>
      </w:r>
      <w:r w:rsidR="004264FC">
        <w:t>central city that is growing in population and potentially pricing low and middle income families out of housing in the central city</w:t>
      </w:r>
      <w:r w:rsidR="00FA3CB4">
        <w:t xml:space="preserve"> (See Table 2). </w:t>
      </w:r>
    </w:p>
    <w:p w14:paraId="1C1BF009" w14:textId="77777777" w:rsidR="007426F0" w:rsidRDefault="007426F0"/>
    <w:tbl>
      <w:tblPr>
        <w:tblStyle w:val="TableGrid"/>
        <w:tblW w:w="10350" w:type="dxa"/>
        <w:tblInd w:w="-252" w:type="dxa"/>
        <w:tblLayout w:type="fixed"/>
        <w:tblLook w:val="04A0" w:firstRow="1" w:lastRow="0" w:firstColumn="1" w:lastColumn="0" w:noHBand="0" w:noVBand="1"/>
      </w:tblPr>
      <w:tblGrid>
        <w:gridCol w:w="1890"/>
        <w:gridCol w:w="1350"/>
        <w:gridCol w:w="1339"/>
        <w:gridCol w:w="1360"/>
        <w:gridCol w:w="1020"/>
        <w:gridCol w:w="1020"/>
        <w:gridCol w:w="1021"/>
        <w:gridCol w:w="1350"/>
      </w:tblGrid>
      <w:tr w:rsidR="005914C8" w14:paraId="7DEA3D2C" w14:textId="77777777" w:rsidTr="00976D73">
        <w:tc>
          <w:tcPr>
            <w:tcW w:w="10350" w:type="dxa"/>
            <w:gridSpan w:val="8"/>
          </w:tcPr>
          <w:p w14:paraId="1F904D17" w14:textId="1EBC48C3" w:rsidR="005914C8" w:rsidRDefault="0028334C" w:rsidP="007342D0">
            <w:r>
              <w:t xml:space="preserve">Table 2:  </w:t>
            </w:r>
            <w:r w:rsidR="005914C8">
              <w:t>Comparison of College Towns in Suburbs on the Periphery</w:t>
            </w:r>
          </w:p>
        </w:tc>
      </w:tr>
      <w:tr w:rsidR="00976D73" w14:paraId="479E02D7" w14:textId="77777777" w:rsidTr="00976D73">
        <w:tc>
          <w:tcPr>
            <w:tcW w:w="1890" w:type="dxa"/>
          </w:tcPr>
          <w:p w14:paraId="1CA86D30" w14:textId="0C2081CC" w:rsidR="00976D73" w:rsidRDefault="00976D73">
            <w:r>
              <w:t>City</w:t>
            </w:r>
          </w:p>
        </w:tc>
        <w:tc>
          <w:tcPr>
            <w:tcW w:w="1350" w:type="dxa"/>
          </w:tcPr>
          <w:p w14:paraId="04718808" w14:textId="33E8D528" w:rsidR="00976D73" w:rsidRDefault="00976D73" w:rsidP="005B5883">
            <w:pPr>
              <w:jc w:val="center"/>
            </w:pPr>
            <w:r>
              <w:t>Population</w:t>
            </w:r>
          </w:p>
        </w:tc>
        <w:tc>
          <w:tcPr>
            <w:tcW w:w="1339" w:type="dxa"/>
          </w:tcPr>
          <w:p w14:paraId="01C27DB9" w14:textId="0D1DEF9B" w:rsidR="00976D73" w:rsidRDefault="00976D73" w:rsidP="006A21E1">
            <w:pPr>
              <w:jc w:val="center"/>
            </w:pPr>
            <w:r>
              <w:t>University</w:t>
            </w:r>
          </w:p>
        </w:tc>
        <w:tc>
          <w:tcPr>
            <w:tcW w:w="1360" w:type="dxa"/>
          </w:tcPr>
          <w:p w14:paraId="25F72A9F" w14:textId="4C56136D" w:rsidR="00976D73" w:rsidRDefault="00976D73" w:rsidP="006A21E1">
            <w:pPr>
              <w:jc w:val="center"/>
            </w:pPr>
            <w:r>
              <w:t>Student Population Percentage</w:t>
            </w:r>
          </w:p>
        </w:tc>
        <w:tc>
          <w:tcPr>
            <w:tcW w:w="1020" w:type="dxa"/>
          </w:tcPr>
          <w:p w14:paraId="5A818F05" w14:textId="00B3DEB2" w:rsidR="00976D73" w:rsidRDefault="00976D73" w:rsidP="006A21E1">
            <w:pPr>
              <w:jc w:val="center"/>
            </w:pPr>
            <w:r>
              <w:t>Overall Poverty</w:t>
            </w:r>
          </w:p>
        </w:tc>
        <w:tc>
          <w:tcPr>
            <w:tcW w:w="1020" w:type="dxa"/>
          </w:tcPr>
          <w:p w14:paraId="7DA1FB72" w14:textId="14B6642A" w:rsidR="00976D73" w:rsidRDefault="00976D73" w:rsidP="007342D0">
            <w:r>
              <w:t>Non-Student Poverty Rate</w:t>
            </w:r>
          </w:p>
        </w:tc>
        <w:tc>
          <w:tcPr>
            <w:tcW w:w="1021" w:type="dxa"/>
          </w:tcPr>
          <w:p w14:paraId="5DFDCB86" w14:textId="77777777" w:rsidR="00976D73" w:rsidRDefault="00976D73" w:rsidP="007342D0">
            <w:r>
              <w:t>Student Poverty Rate</w:t>
            </w:r>
          </w:p>
          <w:p w14:paraId="04060264" w14:textId="747538F9" w:rsidR="00976D73" w:rsidRDefault="00976D73" w:rsidP="00976D73"/>
        </w:tc>
        <w:tc>
          <w:tcPr>
            <w:tcW w:w="1350" w:type="dxa"/>
          </w:tcPr>
          <w:p w14:paraId="615FA21E" w14:textId="77777777" w:rsidR="00976D73" w:rsidRDefault="00976D73" w:rsidP="00976D73">
            <w:pPr>
              <w:jc w:val="center"/>
            </w:pPr>
            <w:r>
              <w:t>Difference</w:t>
            </w:r>
          </w:p>
          <w:p w14:paraId="127C5A39" w14:textId="2CDB556E" w:rsidR="006645A9" w:rsidRDefault="006645A9" w:rsidP="00976D73">
            <w:pPr>
              <w:jc w:val="center"/>
            </w:pPr>
            <w:r>
              <w:t>Overall-Non-Student</w:t>
            </w:r>
          </w:p>
        </w:tc>
      </w:tr>
      <w:tr w:rsidR="00976D73" w14:paraId="2AF82141" w14:textId="77777777" w:rsidTr="00976D73">
        <w:tc>
          <w:tcPr>
            <w:tcW w:w="1890" w:type="dxa"/>
          </w:tcPr>
          <w:p w14:paraId="77935F51" w14:textId="0337323F" w:rsidR="00976D73" w:rsidRDefault="00976D73">
            <w:r>
              <w:t>Boulder, CO</w:t>
            </w:r>
          </w:p>
        </w:tc>
        <w:tc>
          <w:tcPr>
            <w:tcW w:w="1350" w:type="dxa"/>
          </w:tcPr>
          <w:p w14:paraId="6BBCAB7F" w14:textId="74991581" w:rsidR="00976D73" w:rsidRDefault="00976D73" w:rsidP="005B5883">
            <w:pPr>
              <w:jc w:val="center"/>
            </w:pPr>
            <w:r>
              <w:t>92,785</w:t>
            </w:r>
          </w:p>
        </w:tc>
        <w:tc>
          <w:tcPr>
            <w:tcW w:w="1339" w:type="dxa"/>
          </w:tcPr>
          <w:p w14:paraId="32D8B7E4" w14:textId="40797888" w:rsidR="00976D73" w:rsidRDefault="00976D73">
            <w:r>
              <w:t>University of Colorado</w:t>
            </w:r>
          </w:p>
        </w:tc>
        <w:tc>
          <w:tcPr>
            <w:tcW w:w="1360" w:type="dxa"/>
          </w:tcPr>
          <w:p w14:paraId="060ED174" w14:textId="7A266CE1" w:rsidR="00976D73" w:rsidRDefault="00976D73" w:rsidP="005914C8">
            <w:pPr>
              <w:jc w:val="center"/>
            </w:pPr>
            <w:r>
              <w:t>25.8</w:t>
            </w:r>
          </w:p>
        </w:tc>
        <w:tc>
          <w:tcPr>
            <w:tcW w:w="1020" w:type="dxa"/>
          </w:tcPr>
          <w:p w14:paraId="5B18DAB4" w14:textId="4BA3AD1F" w:rsidR="00976D73" w:rsidRDefault="00976D73" w:rsidP="005B5883">
            <w:pPr>
              <w:jc w:val="center"/>
            </w:pPr>
            <w:r>
              <w:t>23.4</w:t>
            </w:r>
          </w:p>
        </w:tc>
        <w:tc>
          <w:tcPr>
            <w:tcW w:w="1020" w:type="dxa"/>
          </w:tcPr>
          <w:p w14:paraId="68FB522E" w14:textId="7D3B145E" w:rsidR="00976D73" w:rsidRDefault="00976D73" w:rsidP="005B5883">
            <w:pPr>
              <w:jc w:val="center"/>
            </w:pPr>
            <w:r>
              <w:t>10.6</w:t>
            </w:r>
          </w:p>
        </w:tc>
        <w:tc>
          <w:tcPr>
            <w:tcW w:w="1021" w:type="dxa"/>
          </w:tcPr>
          <w:p w14:paraId="74E72505" w14:textId="49FBD597" w:rsidR="00976D73" w:rsidRDefault="00976D73" w:rsidP="005B5883">
            <w:pPr>
              <w:jc w:val="center"/>
            </w:pPr>
            <w:r>
              <w:t>62.3</w:t>
            </w:r>
          </w:p>
        </w:tc>
        <w:tc>
          <w:tcPr>
            <w:tcW w:w="1350" w:type="dxa"/>
          </w:tcPr>
          <w:p w14:paraId="400C17C1" w14:textId="1AE4EF2D" w:rsidR="00976D73" w:rsidRDefault="006645A9" w:rsidP="005B5883">
            <w:pPr>
              <w:jc w:val="center"/>
            </w:pPr>
            <w:r>
              <w:t>12.8</w:t>
            </w:r>
          </w:p>
        </w:tc>
      </w:tr>
      <w:tr w:rsidR="00976D73" w14:paraId="6DB01C13" w14:textId="77777777" w:rsidTr="00976D73">
        <w:tc>
          <w:tcPr>
            <w:tcW w:w="1890" w:type="dxa"/>
          </w:tcPr>
          <w:p w14:paraId="09C86DF5" w14:textId="4BDEF54B" w:rsidR="00976D73" w:rsidRDefault="00976D73">
            <w:r>
              <w:t>Denton, TX</w:t>
            </w:r>
          </w:p>
        </w:tc>
        <w:tc>
          <w:tcPr>
            <w:tcW w:w="1350" w:type="dxa"/>
          </w:tcPr>
          <w:p w14:paraId="692F0B45" w14:textId="2FDAF0F9" w:rsidR="00976D73" w:rsidRDefault="00976D73" w:rsidP="005B5883">
            <w:pPr>
              <w:jc w:val="center"/>
            </w:pPr>
            <w:r>
              <w:t>111,629</w:t>
            </w:r>
          </w:p>
        </w:tc>
        <w:tc>
          <w:tcPr>
            <w:tcW w:w="1339" w:type="dxa"/>
          </w:tcPr>
          <w:p w14:paraId="65CE6610" w14:textId="0F11CF94" w:rsidR="00976D73" w:rsidRDefault="00976D73">
            <w:r>
              <w:t>University of North Texas</w:t>
            </w:r>
          </w:p>
        </w:tc>
        <w:tc>
          <w:tcPr>
            <w:tcW w:w="1360" w:type="dxa"/>
          </w:tcPr>
          <w:p w14:paraId="0AE612AE" w14:textId="473232B3" w:rsidR="00976D73" w:rsidRDefault="00976D73" w:rsidP="005914C8">
            <w:pPr>
              <w:jc w:val="center"/>
            </w:pPr>
            <w:r>
              <w:t>19.5</w:t>
            </w:r>
          </w:p>
        </w:tc>
        <w:tc>
          <w:tcPr>
            <w:tcW w:w="1020" w:type="dxa"/>
          </w:tcPr>
          <w:p w14:paraId="67433AE1" w14:textId="61356B5B" w:rsidR="00976D73" w:rsidRDefault="00976D73" w:rsidP="005B5883">
            <w:pPr>
              <w:jc w:val="center"/>
            </w:pPr>
            <w:r>
              <w:t>20.3</w:t>
            </w:r>
          </w:p>
        </w:tc>
        <w:tc>
          <w:tcPr>
            <w:tcW w:w="1020" w:type="dxa"/>
          </w:tcPr>
          <w:p w14:paraId="0BD73BEB" w14:textId="55DAA656" w:rsidR="00976D73" w:rsidRDefault="00976D73" w:rsidP="005B5883">
            <w:pPr>
              <w:jc w:val="center"/>
            </w:pPr>
            <w:r>
              <w:t>13.5</w:t>
            </w:r>
          </w:p>
        </w:tc>
        <w:tc>
          <w:tcPr>
            <w:tcW w:w="1021" w:type="dxa"/>
          </w:tcPr>
          <w:p w14:paraId="52E89227" w14:textId="5D3DE86E" w:rsidR="00976D73" w:rsidRDefault="00976D73" w:rsidP="005B5883">
            <w:pPr>
              <w:jc w:val="center"/>
            </w:pPr>
            <w:r>
              <w:t>48.6</w:t>
            </w:r>
          </w:p>
        </w:tc>
        <w:tc>
          <w:tcPr>
            <w:tcW w:w="1350" w:type="dxa"/>
          </w:tcPr>
          <w:p w14:paraId="4CD049E8" w14:textId="392D1438" w:rsidR="00976D73" w:rsidRDefault="006645A9" w:rsidP="005B5883">
            <w:pPr>
              <w:jc w:val="center"/>
            </w:pPr>
            <w:r>
              <w:t>6.8</w:t>
            </w:r>
          </w:p>
        </w:tc>
      </w:tr>
      <w:tr w:rsidR="00976D73" w14:paraId="21F1949C" w14:textId="77777777" w:rsidTr="00976D73">
        <w:tc>
          <w:tcPr>
            <w:tcW w:w="1890" w:type="dxa"/>
          </w:tcPr>
          <w:p w14:paraId="70E9907E" w14:textId="74615242" w:rsidR="00976D73" w:rsidRDefault="00976D73">
            <w:r>
              <w:t>Kennesaw, GA</w:t>
            </w:r>
          </w:p>
        </w:tc>
        <w:tc>
          <w:tcPr>
            <w:tcW w:w="1350" w:type="dxa"/>
          </w:tcPr>
          <w:p w14:paraId="4B592816" w14:textId="31680C87" w:rsidR="00976D73" w:rsidRDefault="00976D73" w:rsidP="005B5883">
            <w:pPr>
              <w:jc w:val="center"/>
            </w:pPr>
            <w:r>
              <w:t>30,837</w:t>
            </w:r>
          </w:p>
        </w:tc>
        <w:tc>
          <w:tcPr>
            <w:tcW w:w="1339" w:type="dxa"/>
          </w:tcPr>
          <w:p w14:paraId="3663A6A4" w14:textId="39550FE5" w:rsidR="00976D73" w:rsidRDefault="00976D73">
            <w:r>
              <w:t>Kennesaw State University</w:t>
            </w:r>
          </w:p>
        </w:tc>
        <w:tc>
          <w:tcPr>
            <w:tcW w:w="1360" w:type="dxa"/>
          </w:tcPr>
          <w:p w14:paraId="130ABC0B" w14:textId="2707BE76" w:rsidR="00976D73" w:rsidRDefault="00976D73" w:rsidP="005914C8">
            <w:pPr>
              <w:jc w:val="center"/>
            </w:pPr>
            <w:r>
              <w:t>10.1</w:t>
            </w:r>
          </w:p>
        </w:tc>
        <w:tc>
          <w:tcPr>
            <w:tcW w:w="1020" w:type="dxa"/>
          </w:tcPr>
          <w:p w14:paraId="63D18C89" w14:textId="59646DE1" w:rsidR="00976D73" w:rsidRDefault="00976D73" w:rsidP="005B5883">
            <w:pPr>
              <w:jc w:val="center"/>
            </w:pPr>
            <w:r>
              <w:t>9.5</w:t>
            </w:r>
          </w:p>
        </w:tc>
        <w:tc>
          <w:tcPr>
            <w:tcW w:w="1020" w:type="dxa"/>
          </w:tcPr>
          <w:p w14:paraId="4DFDA11A" w14:textId="75C30A03" w:rsidR="00976D73" w:rsidRDefault="00976D73" w:rsidP="005B5883">
            <w:pPr>
              <w:jc w:val="center"/>
            </w:pPr>
            <w:r>
              <w:t>7.9</w:t>
            </w:r>
          </w:p>
        </w:tc>
        <w:tc>
          <w:tcPr>
            <w:tcW w:w="1021" w:type="dxa"/>
          </w:tcPr>
          <w:p w14:paraId="1A334BA0" w14:textId="2B0AB75A" w:rsidR="00976D73" w:rsidRDefault="00976D73" w:rsidP="005B5883">
            <w:pPr>
              <w:jc w:val="center"/>
            </w:pPr>
            <w:r>
              <w:t>24.7</w:t>
            </w:r>
          </w:p>
        </w:tc>
        <w:tc>
          <w:tcPr>
            <w:tcW w:w="1350" w:type="dxa"/>
          </w:tcPr>
          <w:p w14:paraId="27FCA278" w14:textId="66AC2313" w:rsidR="00976D73" w:rsidRDefault="006645A9" w:rsidP="005B5883">
            <w:pPr>
              <w:jc w:val="center"/>
            </w:pPr>
            <w:r>
              <w:t>1.6</w:t>
            </w:r>
          </w:p>
        </w:tc>
      </w:tr>
      <w:tr w:rsidR="00976D73" w14:paraId="2FF1E874" w14:textId="77777777" w:rsidTr="00976D73">
        <w:tc>
          <w:tcPr>
            <w:tcW w:w="1890" w:type="dxa"/>
          </w:tcPr>
          <w:p w14:paraId="6B876788" w14:textId="4AEAC35A" w:rsidR="00976D73" w:rsidRDefault="00976D73">
            <w:r>
              <w:t>Murfreesboro, TN</w:t>
            </w:r>
          </w:p>
        </w:tc>
        <w:tc>
          <w:tcPr>
            <w:tcW w:w="1350" w:type="dxa"/>
          </w:tcPr>
          <w:p w14:paraId="449BBF59" w14:textId="7FB56E2E" w:rsidR="00976D73" w:rsidRDefault="00976D73" w:rsidP="005B5883">
            <w:pPr>
              <w:jc w:val="center"/>
            </w:pPr>
            <w:r>
              <w:t>108,847</w:t>
            </w:r>
          </w:p>
        </w:tc>
        <w:tc>
          <w:tcPr>
            <w:tcW w:w="1339" w:type="dxa"/>
          </w:tcPr>
          <w:p w14:paraId="22A9F4B0" w14:textId="0F4FA7B3" w:rsidR="00976D73" w:rsidRDefault="00976D73">
            <w:r>
              <w:t>Middle Tennessee State University</w:t>
            </w:r>
          </w:p>
        </w:tc>
        <w:tc>
          <w:tcPr>
            <w:tcW w:w="1360" w:type="dxa"/>
          </w:tcPr>
          <w:p w14:paraId="35DBB816" w14:textId="5D16F054" w:rsidR="00976D73" w:rsidRDefault="00976D73" w:rsidP="005914C8">
            <w:pPr>
              <w:jc w:val="center"/>
            </w:pPr>
            <w:r>
              <w:t>13.6</w:t>
            </w:r>
          </w:p>
        </w:tc>
        <w:tc>
          <w:tcPr>
            <w:tcW w:w="1020" w:type="dxa"/>
          </w:tcPr>
          <w:p w14:paraId="739B8F2F" w14:textId="7CD8392F" w:rsidR="00976D73" w:rsidRDefault="00976D73" w:rsidP="005B5883">
            <w:pPr>
              <w:jc w:val="center"/>
            </w:pPr>
            <w:r>
              <w:t>16.1</w:t>
            </w:r>
          </w:p>
        </w:tc>
        <w:tc>
          <w:tcPr>
            <w:tcW w:w="1020" w:type="dxa"/>
          </w:tcPr>
          <w:p w14:paraId="071D32FB" w14:textId="57529E46" w:rsidR="00976D73" w:rsidRDefault="00976D73" w:rsidP="005B5883">
            <w:pPr>
              <w:jc w:val="center"/>
            </w:pPr>
            <w:r>
              <w:t>11.8</w:t>
            </w:r>
          </w:p>
        </w:tc>
        <w:tc>
          <w:tcPr>
            <w:tcW w:w="1021" w:type="dxa"/>
          </w:tcPr>
          <w:p w14:paraId="75B0CD7F" w14:textId="5528C70B" w:rsidR="00976D73" w:rsidRDefault="00976D73" w:rsidP="005B5883">
            <w:pPr>
              <w:jc w:val="center"/>
            </w:pPr>
            <w:r>
              <w:t>43.2</w:t>
            </w:r>
          </w:p>
        </w:tc>
        <w:tc>
          <w:tcPr>
            <w:tcW w:w="1350" w:type="dxa"/>
          </w:tcPr>
          <w:p w14:paraId="26088563" w14:textId="478A83D5" w:rsidR="00976D73" w:rsidRDefault="006645A9" w:rsidP="005B5883">
            <w:pPr>
              <w:jc w:val="center"/>
            </w:pPr>
            <w:r>
              <w:t>4.3</w:t>
            </w:r>
          </w:p>
        </w:tc>
      </w:tr>
      <w:tr w:rsidR="00976D73" w14:paraId="55DB25A9" w14:textId="77777777" w:rsidTr="00976D73">
        <w:tc>
          <w:tcPr>
            <w:tcW w:w="1890" w:type="dxa"/>
          </w:tcPr>
          <w:p w14:paraId="10F7F9A4" w14:textId="73421B9A" w:rsidR="00976D73" w:rsidRDefault="00976D73">
            <w:r>
              <w:t>Norman, OK</w:t>
            </w:r>
          </w:p>
        </w:tc>
        <w:tc>
          <w:tcPr>
            <w:tcW w:w="1350" w:type="dxa"/>
          </w:tcPr>
          <w:p w14:paraId="1430C127" w14:textId="6E50E46D" w:rsidR="00976D73" w:rsidRDefault="00976D73" w:rsidP="005B5883">
            <w:pPr>
              <w:jc w:val="center"/>
            </w:pPr>
            <w:r>
              <w:t>105,939</w:t>
            </w:r>
          </w:p>
        </w:tc>
        <w:tc>
          <w:tcPr>
            <w:tcW w:w="1339" w:type="dxa"/>
          </w:tcPr>
          <w:p w14:paraId="2D6EADF7" w14:textId="7DE139E4" w:rsidR="00976D73" w:rsidRDefault="00976D73">
            <w:r>
              <w:t xml:space="preserve">University </w:t>
            </w:r>
            <w:r>
              <w:lastRenderedPageBreak/>
              <w:t>of Oklahoma</w:t>
            </w:r>
          </w:p>
        </w:tc>
        <w:tc>
          <w:tcPr>
            <w:tcW w:w="1360" w:type="dxa"/>
          </w:tcPr>
          <w:p w14:paraId="1B6862A2" w14:textId="6BF216BA" w:rsidR="00976D73" w:rsidRDefault="00976D73" w:rsidP="005914C8">
            <w:pPr>
              <w:jc w:val="center"/>
            </w:pPr>
            <w:r>
              <w:lastRenderedPageBreak/>
              <w:t>17.3</w:t>
            </w:r>
          </w:p>
        </w:tc>
        <w:tc>
          <w:tcPr>
            <w:tcW w:w="1020" w:type="dxa"/>
          </w:tcPr>
          <w:p w14:paraId="3916C2C8" w14:textId="0E16C839" w:rsidR="00976D73" w:rsidRDefault="00976D73" w:rsidP="005B5883">
            <w:pPr>
              <w:jc w:val="center"/>
            </w:pPr>
            <w:r>
              <w:t>17.8</w:t>
            </w:r>
          </w:p>
        </w:tc>
        <w:tc>
          <w:tcPr>
            <w:tcW w:w="1020" w:type="dxa"/>
          </w:tcPr>
          <w:p w14:paraId="65ECD986" w14:textId="597E778F" w:rsidR="00976D73" w:rsidRDefault="00976D73" w:rsidP="005B5883">
            <w:pPr>
              <w:jc w:val="center"/>
            </w:pPr>
            <w:r>
              <w:t>13.0</w:t>
            </w:r>
          </w:p>
        </w:tc>
        <w:tc>
          <w:tcPr>
            <w:tcW w:w="1021" w:type="dxa"/>
          </w:tcPr>
          <w:p w14:paraId="3DB466F0" w14:textId="1868D88D" w:rsidR="00976D73" w:rsidRDefault="00976D73" w:rsidP="005B5883">
            <w:pPr>
              <w:jc w:val="center"/>
            </w:pPr>
            <w:r>
              <w:t>40.6</w:t>
            </w:r>
          </w:p>
        </w:tc>
        <w:tc>
          <w:tcPr>
            <w:tcW w:w="1350" w:type="dxa"/>
          </w:tcPr>
          <w:p w14:paraId="0A14AA6F" w14:textId="526FC263" w:rsidR="00976D73" w:rsidRDefault="006645A9" w:rsidP="005B5883">
            <w:pPr>
              <w:jc w:val="center"/>
            </w:pPr>
            <w:r>
              <w:t>4.8</w:t>
            </w:r>
          </w:p>
        </w:tc>
      </w:tr>
      <w:tr w:rsidR="00976D73" w14:paraId="2D3D7EDE" w14:textId="77777777" w:rsidTr="00976D73">
        <w:tc>
          <w:tcPr>
            <w:tcW w:w="1890" w:type="dxa"/>
          </w:tcPr>
          <w:p w14:paraId="1BFF94C9" w14:textId="7E61AB32" w:rsidR="00976D73" w:rsidRDefault="00976D73">
            <w:r>
              <w:t>San Marcos, TX</w:t>
            </w:r>
          </w:p>
        </w:tc>
        <w:tc>
          <w:tcPr>
            <w:tcW w:w="1350" w:type="dxa"/>
          </w:tcPr>
          <w:p w14:paraId="36FBA64E" w14:textId="30582468" w:rsidR="00976D73" w:rsidRDefault="00976D73" w:rsidP="005B5883">
            <w:pPr>
              <w:jc w:val="center"/>
            </w:pPr>
            <w:r>
              <w:t>47,227</w:t>
            </w:r>
          </w:p>
        </w:tc>
        <w:tc>
          <w:tcPr>
            <w:tcW w:w="1339" w:type="dxa"/>
          </w:tcPr>
          <w:p w14:paraId="6F27DC85" w14:textId="4476E50D" w:rsidR="00976D73" w:rsidRDefault="00976D73">
            <w:r>
              <w:t>Texas State University</w:t>
            </w:r>
          </w:p>
        </w:tc>
        <w:tc>
          <w:tcPr>
            <w:tcW w:w="1360" w:type="dxa"/>
          </w:tcPr>
          <w:p w14:paraId="2C235BF3" w14:textId="5E8EBDCE" w:rsidR="00976D73" w:rsidRDefault="00976D73" w:rsidP="005914C8">
            <w:pPr>
              <w:jc w:val="center"/>
            </w:pPr>
            <w:r>
              <w:t>34.9</w:t>
            </w:r>
          </w:p>
        </w:tc>
        <w:tc>
          <w:tcPr>
            <w:tcW w:w="1020" w:type="dxa"/>
          </w:tcPr>
          <w:p w14:paraId="34038986" w14:textId="1B0BE7D5" w:rsidR="00976D73" w:rsidRDefault="00976D73" w:rsidP="005B5883">
            <w:pPr>
              <w:jc w:val="center"/>
            </w:pPr>
            <w:r>
              <w:t>36.9</w:t>
            </w:r>
          </w:p>
        </w:tc>
        <w:tc>
          <w:tcPr>
            <w:tcW w:w="1020" w:type="dxa"/>
          </w:tcPr>
          <w:p w14:paraId="23C1B50D" w14:textId="7749BCD2" w:rsidR="00976D73" w:rsidRDefault="00976D73" w:rsidP="005B5883">
            <w:pPr>
              <w:jc w:val="center"/>
            </w:pPr>
            <w:r>
              <w:t>23.1</w:t>
            </w:r>
          </w:p>
        </w:tc>
        <w:tc>
          <w:tcPr>
            <w:tcW w:w="1021" w:type="dxa"/>
          </w:tcPr>
          <w:p w14:paraId="42C9F946" w14:textId="09484DC0" w:rsidR="00976D73" w:rsidRDefault="00976D73" w:rsidP="005B5883">
            <w:pPr>
              <w:jc w:val="center"/>
            </w:pPr>
            <w:r>
              <w:t>62.4</w:t>
            </w:r>
          </w:p>
        </w:tc>
        <w:tc>
          <w:tcPr>
            <w:tcW w:w="1350" w:type="dxa"/>
          </w:tcPr>
          <w:p w14:paraId="6743C084" w14:textId="3D1A6C4E" w:rsidR="00976D73" w:rsidRDefault="006645A9" w:rsidP="005B5883">
            <w:pPr>
              <w:jc w:val="center"/>
            </w:pPr>
            <w:r>
              <w:t>13.8</w:t>
            </w:r>
          </w:p>
        </w:tc>
      </w:tr>
      <w:tr w:rsidR="00976D73" w14:paraId="1C0C558F" w14:textId="77777777" w:rsidTr="00976D73">
        <w:tc>
          <w:tcPr>
            <w:tcW w:w="1890" w:type="dxa"/>
          </w:tcPr>
          <w:p w14:paraId="209FEF87" w14:textId="203B17B5" w:rsidR="00976D73" w:rsidRDefault="00976D73">
            <w:r>
              <w:t>Tempe, AZ</w:t>
            </w:r>
          </w:p>
        </w:tc>
        <w:tc>
          <w:tcPr>
            <w:tcW w:w="1350" w:type="dxa"/>
          </w:tcPr>
          <w:p w14:paraId="32B4CCD6" w14:textId="46BA4FED" w:rsidR="00976D73" w:rsidRDefault="00976D73" w:rsidP="005B5883">
            <w:pPr>
              <w:jc w:val="center"/>
            </w:pPr>
            <w:r>
              <w:t>154,347</w:t>
            </w:r>
          </w:p>
        </w:tc>
        <w:tc>
          <w:tcPr>
            <w:tcW w:w="1339" w:type="dxa"/>
          </w:tcPr>
          <w:p w14:paraId="5D22E975" w14:textId="203DFC11" w:rsidR="00976D73" w:rsidRDefault="00976D73">
            <w:r>
              <w:t>Arizona State University</w:t>
            </w:r>
          </w:p>
        </w:tc>
        <w:tc>
          <w:tcPr>
            <w:tcW w:w="1360" w:type="dxa"/>
          </w:tcPr>
          <w:p w14:paraId="1F6324CB" w14:textId="1A0F54E4" w:rsidR="00976D73" w:rsidRDefault="00976D73" w:rsidP="005914C8">
            <w:pPr>
              <w:jc w:val="center"/>
            </w:pPr>
            <w:r>
              <w:t>21.2</w:t>
            </w:r>
          </w:p>
        </w:tc>
        <w:tc>
          <w:tcPr>
            <w:tcW w:w="1020" w:type="dxa"/>
          </w:tcPr>
          <w:p w14:paraId="398739D1" w14:textId="32C9A7E7" w:rsidR="00976D73" w:rsidRDefault="00976D73" w:rsidP="005B5883">
            <w:pPr>
              <w:jc w:val="center"/>
            </w:pPr>
            <w:r>
              <w:t>21.2</w:t>
            </w:r>
          </w:p>
        </w:tc>
        <w:tc>
          <w:tcPr>
            <w:tcW w:w="1020" w:type="dxa"/>
          </w:tcPr>
          <w:p w14:paraId="13C1D800" w14:textId="6F6C173E" w:rsidR="00976D73" w:rsidRDefault="00976D73" w:rsidP="005B5883">
            <w:pPr>
              <w:jc w:val="center"/>
            </w:pPr>
            <w:r>
              <w:t>14.4</w:t>
            </w:r>
          </w:p>
        </w:tc>
        <w:tc>
          <w:tcPr>
            <w:tcW w:w="1021" w:type="dxa"/>
          </w:tcPr>
          <w:p w14:paraId="31F485F3" w14:textId="35DB7EE4" w:rsidR="00976D73" w:rsidRDefault="00976D73" w:rsidP="005B5883">
            <w:pPr>
              <w:jc w:val="center"/>
            </w:pPr>
            <w:r>
              <w:t>46.7</w:t>
            </w:r>
          </w:p>
        </w:tc>
        <w:tc>
          <w:tcPr>
            <w:tcW w:w="1350" w:type="dxa"/>
          </w:tcPr>
          <w:p w14:paraId="0E884002" w14:textId="25E36A4F" w:rsidR="00976D73" w:rsidRDefault="006645A9" w:rsidP="005B5883">
            <w:pPr>
              <w:jc w:val="center"/>
            </w:pPr>
            <w:r>
              <w:t>6.8</w:t>
            </w:r>
          </w:p>
        </w:tc>
      </w:tr>
      <w:tr w:rsidR="00B516D5" w14:paraId="1BB9C8F4" w14:textId="77777777" w:rsidTr="00976D73">
        <w:tc>
          <w:tcPr>
            <w:tcW w:w="10350" w:type="dxa"/>
            <w:gridSpan w:val="8"/>
          </w:tcPr>
          <w:p w14:paraId="7FDEA701" w14:textId="745EA092" w:rsidR="00B516D5" w:rsidRDefault="00B516D5">
            <w:r>
              <w:t>Source: Table B14006 Poverty Status in the Past 12 Months by School Enrollment by Level of School of the Population 3 years and Over</w:t>
            </w:r>
            <w:r w:rsidR="00832B86">
              <w:t>.  US Census.  American Community Survey.</w:t>
            </w:r>
            <w:r>
              <w:t xml:space="preserve"> (</w:t>
            </w:r>
            <w:r w:rsidR="00A22FC2">
              <w:t>2011-</w:t>
            </w:r>
            <w:r>
              <w:t>2015</w:t>
            </w:r>
            <w:r w:rsidR="00A22FC2">
              <w:t xml:space="preserve"> estimates</w:t>
            </w:r>
            <w:r>
              <w:t>)</w:t>
            </w:r>
          </w:p>
        </w:tc>
      </w:tr>
    </w:tbl>
    <w:p w14:paraId="08BFC286" w14:textId="2B5531BB" w:rsidR="008B6254" w:rsidRDefault="008B6254"/>
    <w:p w14:paraId="3F96459A" w14:textId="77777777" w:rsidR="00491307" w:rsidRDefault="00491307"/>
    <w:p w14:paraId="20721398" w14:textId="6B49B00E" w:rsidR="006645A9" w:rsidRDefault="006645A9" w:rsidP="006C45D6">
      <w:pPr>
        <w:spacing w:line="480" w:lineRule="auto"/>
        <w:ind w:firstLine="720"/>
      </w:pPr>
      <w:r>
        <w:t>When com</w:t>
      </w:r>
      <w:r w:rsidR="00895BD8">
        <w:t xml:space="preserve">pared to these other similarly-situated </w:t>
      </w:r>
      <w:r w:rsidR="006A2CF7">
        <w:t>college towns</w:t>
      </w:r>
      <w:r>
        <w:t xml:space="preserve">, San Marcos has the highest percentage of students </w:t>
      </w:r>
      <w:r w:rsidR="00AD29BD">
        <w:t xml:space="preserve">to </w:t>
      </w:r>
      <w:r>
        <w:t>total population</w:t>
      </w:r>
      <w:r w:rsidR="006522CA">
        <w:t xml:space="preserve"> (35</w:t>
      </w:r>
      <w:r w:rsidR="006A2CF7">
        <w:t>%)</w:t>
      </w:r>
      <w:r>
        <w:t>.  In addition, San Marcos has the highest overall poverty rate</w:t>
      </w:r>
      <w:r w:rsidR="006522CA">
        <w:t xml:space="preserve"> (37</w:t>
      </w:r>
      <w:r w:rsidR="006A2CF7">
        <w:t>%)</w:t>
      </w:r>
      <w:r>
        <w:t xml:space="preserve">.  In addition, Texas State students who live in San Marcos also have a higher </w:t>
      </w:r>
      <w:r w:rsidR="006A2CF7">
        <w:t xml:space="preserve">poverty </w:t>
      </w:r>
      <w:r>
        <w:t xml:space="preserve">rate </w:t>
      </w:r>
      <w:r w:rsidR="006522CA">
        <w:t>(62</w:t>
      </w:r>
      <w:r w:rsidR="00F775C8">
        <w:t xml:space="preserve">%) </w:t>
      </w:r>
      <w:r>
        <w:t xml:space="preserve">than student </w:t>
      </w:r>
      <w:r w:rsidR="00F775C8">
        <w:t>populations in the peer cities</w:t>
      </w:r>
      <w:r w:rsidR="00C62CC1">
        <w:t>,</w:t>
      </w:r>
      <w:r w:rsidR="00F775C8">
        <w:t xml:space="preserve"> wit</w:t>
      </w:r>
      <w:r w:rsidR="006522CA">
        <w:t>h the exception of Boulder (62</w:t>
      </w:r>
      <w:r w:rsidR="00F775C8">
        <w:t>%)</w:t>
      </w:r>
      <w:r w:rsidR="00781D64">
        <w:t xml:space="preserve"> (see Figure 3)</w:t>
      </w:r>
      <w:r w:rsidR="00F775C8">
        <w:t xml:space="preserve">.  </w:t>
      </w:r>
      <w:r w:rsidR="001D75C7">
        <w:t xml:space="preserve">Perhaps </w:t>
      </w:r>
      <w:r w:rsidR="00F775C8">
        <w:t>a larger percent of students</w:t>
      </w:r>
      <w:r w:rsidR="006B348E">
        <w:t xml:space="preserve"> in these two college towns are</w:t>
      </w:r>
      <w:r w:rsidR="00F775C8">
        <w:t xml:space="preserve"> living off ca</w:t>
      </w:r>
      <w:r w:rsidR="006B348E">
        <w:t>mpus are</w:t>
      </w:r>
      <w:r w:rsidR="00F775C8">
        <w:t xml:space="preserve"> full-time students with no to minimal employment.  College students in other college towns </w:t>
      </w:r>
      <w:r w:rsidR="006B348E">
        <w:t xml:space="preserve">may </w:t>
      </w:r>
      <w:r w:rsidR="00F775C8">
        <w:t>have higher levels of</w:t>
      </w:r>
      <w:r w:rsidR="006B348E">
        <w:t xml:space="preserve"> work force participation.  These different employment rates</w:t>
      </w:r>
      <w:r w:rsidR="00F775C8">
        <w:t xml:space="preserve"> may be </w:t>
      </w:r>
      <w:r w:rsidR="006B348E">
        <w:t>because</w:t>
      </w:r>
      <w:r w:rsidR="00F775C8">
        <w:t xml:space="preserve"> these other town</w:t>
      </w:r>
      <w:r w:rsidR="00FB70DC">
        <w:t>s</w:t>
      </w:r>
      <w:r w:rsidR="00F775C8">
        <w:t xml:space="preserve"> have a more favorable opportunity structure for em</w:t>
      </w:r>
      <w:r w:rsidR="006B348E">
        <w:t xml:space="preserve">ployment or different types of college students.  </w:t>
      </w:r>
      <w:r w:rsidR="00C62CC1">
        <w:t>More research on these hypotheses is necessary before firm conclusions can be drawn.</w:t>
      </w:r>
    </w:p>
    <w:p w14:paraId="0EE41737" w14:textId="04F3F5E3" w:rsidR="00584B3D" w:rsidRDefault="006645A9" w:rsidP="006C45D6">
      <w:pPr>
        <w:spacing w:line="480" w:lineRule="auto"/>
        <w:ind w:firstLine="720"/>
      </w:pPr>
      <w:r>
        <w:t xml:space="preserve">The non-student poverty rate is subtracted from the </w:t>
      </w:r>
      <w:r w:rsidR="00134DD5">
        <w:t>overall poverty</w:t>
      </w:r>
      <w:r>
        <w:t xml:space="preserve"> rate to create a measure of bias introduced by student poverty. </w:t>
      </w:r>
      <w:r w:rsidR="0047358D">
        <w:t xml:space="preserve"> </w:t>
      </w:r>
      <w:r w:rsidR="006A2CF7">
        <w:t xml:space="preserve">San Marcos </w:t>
      </w:r>
      <w:r w:rsidR="0047358D">
        <w:t xml:space="preserve">and Boulder have similar differences between overall and non-student poverty rates </w:t>
      </w:r>
      <w:r w:rsidR="00DB21FB">
        <w:t>(14% and 13%</w:t>
      </w:r>
      <w:r w:rsidR="006A2CF7">
        <w:t xml:space="preserve"> respectively).</w:t>
      </w:r>
      <w:r w:rsidR="00C74B60">
        <w:t xml:space="preserve">  These two cities are similar in a number of aspects.  </w:t>
      </w:r>
      <w:r w:rsidR="00584B3D">
        <w:t xml:space="preserve">Both </w:t>
      </w:r>
      <w:r w:rsidR="00E819ED">
        <w:t xml:space="preserve">San </w:t>
      </w:r>
      <w:r w:rsidR="00E819ED">
        <w:lastRenderedPageBreak/>
        <w:t xml:space="preserve">Marcos and Boulder also offer </w:t>
      </w:r>
      <w:r w:rsidR="0080299F">
        <w:t>amenities</w:t>
      </w:r>
      <w:r w:rsidR="00584B3D">
        <w:t xml:space="preserve"> and lifestyle options that attract students </w:t>
      </w:r>
      <w:r w:rsidR="00E819ED">
        <w:t xml:space="preserve">and other young residents </w:t>
      </w:r>
      <w:r w:rsidR="00584B3D">
        <w:t xml:space="preserve">as well as proximity </w:t>
      </w:r>
      <w:r w:rsidR="00E819ED">
        <w:t>to the central city for employment and entertainment.  However, San Marcos has much more affordable housing stock.  It is possible that these amenit</w:t>
      </w:r>
      <w:r w:rsidR="00C74B60">
        <w:t>ies also lead graduates</w:t>
      </w:r>
      <w:r w:rsidR="00E819ED">
        <w:t xml:space="preserve"> to remain in these college towns after graduation for l</w:t>
      </w:r>
      <w:r w:rsidR="00C74B60">
        <w:t>onger than graduates</w:t>
      </w:r>
      <w:r w:rsidR="00E819ED">
        <w:t xml:space="preserve"> in other college towns.  </w:t>
      </w:r>
      <w:r w:rsidR="00D2749F">
        <w:t xml:space="preserve">This assertion requires further research.  </w:t>
      </w:r>
    </w:p>
    <w:p w14:paraId="5356FFE5" w14:textId="77777777" w:rsidR="001714DD" w:rsidRDefault="001714DD" w:rsidP="006C45D6">
      <w:pPr>
        <w:spacing w:line="480" w:lineRule="auto"/>
        <w:ind w:firstLine="720"/>
      </w:pPr>
    </w:p>
    <w:p w14:paraId="4BA3CB68" w14:textId="691FFCD9" w:rsidR="001714DD" w:rsidRDefault="001714DD" w:rsidP="006C45D6">
      <w:pPr>
        <w:spacing w:line="480" w:lineRule="auto"/>
        <w:ind w:firstLine="720"/>
      </w:pPr>
      <w:r w:rsidRPr="001714DD">
        <w:rPr>
          <w:noProof/>
        </w:rPr>
        <w:drawing>
          <wp:inline distT="0" distB="0" distL="0" distR="0" wp14:anchorId="0B33F910" wp14:editId="61C34A5F">
            <wp:extent cx="5715000" cy="48006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3E267B" w14:textId="77777777" w:rsidR="001714DD" w:rsidRDefault="001714DD" w:rsidP="006C45D6">
      <w:pPr>
        <w:spacing w:line="480" w:lineRule="auto"/>
        <w:ind w:firstLine="720"/>
      </w:pPr>
    </w:p>
    <w:p w14:paraId="3AF0F318" w14:textId="5D77FDFE" w:rsidR="006703CC" w:rsidRPr="006703CC" w:rsidRDefault="00E740F9" w:rsidP="00E740F9">
      <w:pPr>
        <w:spacing w:line="480" w:lineRule="auto"/>
        <w:ind w:firstLine="720"/>
      </w:pPr>
      <w:r>
        <w:lastRenderedPageBreak/>
        <w:t xml:space="preserve">Non-college student poverty is growing in San Marcos and has remained stable in Boulder (see Figure 4).   </w:t>
      </w:r>
      <w:r w:rsidR="002556CD">
        <w:t xml:space="preserve">In San Marcos, the non-student </w:t>
      </w:r>
      <w:r w:rsidR="00CB65C2">
        <w:t>poverty rate increased from 19% to 23</w:t>
      </w:r>
      <w:r w:rsidR="002556CD">
        <w:t xml:space="preserve">% while the non-student poverty rate in Boulder increased slightly from 9.8% to 10.1 percent.  </w:t>
      </w:r>
      <w:r w:rsidR="006703CC" w:rsidRPr="006703CC">
        <w:t xml:space="preserve">The finding that non-student college poverty remains high may be due to the fact that San Marcos is in fact in a megalopolis (Austin-San Antonio) and serving as a bedroom community for low and </w:t>
      </w:r>
      <w:r w:rsidR="0070139B" w:rsidRPr="006703CC">
        <w:t>middle-income</w:t>
      </w:r>
      <w:r w:rsidR="006703CC" w:rsidRPr="006703CC">
        <w:t xml:space="preserve"> workers commuting north and south. </w:t>
      </w:r>
      <w:r w:rsidR="003E0C53">
        <w:t xml:space="preserve"> In the foothills of the Rocky Mountains, Boulder is a destination fo</w:t>
      </w:r>
      <w:r w:rsidR="00DC298F">
        <w:t>r not only younger people interested</w:t>
      </w:r>
      <w:r w:rsidR="00C74B60">
        <w:t xml:space="preserve"> in outdoor recreation and alternative</w:t>
      </w:r>
      <w:r w:rsidR="006158D5">
        <w:t xml:space="preserve"> lifestyle, but </w:t>
      </w:r>
      <w:r w:rsidR="00DC298F">
        <w:t xml:space="preserve">very affluent residents as well.  </w:t>
      </w:r>
      <w:r w:rsidR="003E0C53">
        <w:t xml:space="preserve"> </w:t>
      </w:r>
      <w:r w:rsidR="006158D5">
        <w:t>The University of Colorado is the state flagship university and may have more and better paid faculty, administrators, and staff that choose to live in Boulder.</w:t>
      </w:r>
    </w:p>
    <w:p w14:paraId="1FA4AE12" w14:textId="2D1D032D" w:rsidR="00584B3D" w:rsidRDefault="00584B3D" w:rsidP="006C45D6">
      <w:pPr>
        <w:spacing w:line="480" w:lineRule="auto"/>
        <w:ind w:firstLine="720"/>
      </w:pPr>
    </w:p>
    <w:p w14:paraId="4773A78D" w14:textId="38617A43" w:rsidR="003F1510" w:rsidRDefault="006216C8" w:rsidP="006C45D6">
      <w:pPr>
        <w:spacing w:line="480" w:lineRule="auto"/>
        <w:ind w:firstLine="720"/>
      </w:pPr>
      <w:r>
        <w:rPr>
          <w:noProof/>
        </w:rPr>
        <w:lastRenderedPageBreak/>
        <w:drawing>
          <wp:inline distT="0" distB="0" distL="0" distR="0" wp14:anchorId="0E9C1EF4" wp14:editId="246EB683">
            <wp:extent cx="5486400" cy="4030980"/>
            <wp:effectExtent l="0" t="0" r="0" b="7620"/>
            <wp:docPr id="7" name="Chart 7">
              <a:extLst xmlns:a="http://schemas.openxmlformats.org/drawingml/2006/main">
                <a:ext uri="{FF2B5EF4-FFF2-40B4-BE49-F238E27FC236}">
                  <a16:creationId xmlns:a16="http://schemas.microsoft.com/office/drawing/2014/main" id="{408C24E1-04B9-4A3E-A7D1-FBC2AE28DB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EFB4D3" w14:textId="14038B36" w:rsidR="003F1510" w:rsidRDefault="003F1510" w:rsidP="006C45D6">
      <w:pPr>
        <w:spacing w:line="480" w:lineRule="auto"/>
        <w:ind w:firstLine="720"/>
      </w:pPr>
    </w:p>
    <w:p w14:paraId="7F8E283E" w14:textId="77777777" w:rsidR="006645A9" w:rsidRDefault="006645A9" w:rsidP="006C45D6">
      <w:pPr>
        <w:spacing w:line="480" w:lineRule="auto"/>
      </w:pPr>
    </w:p>
    <w:p w14:paraId="3B9BF782" w14:textId="18417BBC" w:rsidR="008B6254" w:rsidRDefault="00705B97">
      <w:pPr>
        <w:rPr>
          <w:i/>
        </w:rPr>
      </w:pPr>
      <w:r w:rsidRPr="00705B97">
        <w:rPr>
          <w:i/>
        </w:rPr>
        <w:t>Texas College Towns</w:t>
      </w:r>
    </w:p>
    <w:p w14:paraId="38FC248D" w14:textId="77777777" w:rsidR="00387E58" w:rsidRDefault="00387E58">
      <w:pPr>
        <w:rPr>
          <w:i/>
        </w:rPr>
      </w:pPr>
    </w:p>
    <w:p w14:paraId="6726C564" w14:textId="1E2CAF0D" w:rsidR="005746A1" w:rsidRDefault="005746A1" w:rsidP="00387E58">
      <w:pPr>
        <w:spacing w:line="480" w:lineRule="auto"/>
        <w:ind w:firstLine="720"/>
      </w:pPr>
      <w:r w:rsidRPr="005746A1">
        <w:t>While comparisons to other college town</w:t>
      </w:r>
      <w:r w:rsidR="00A8675C">
        <w:t>s</w:t>
      </w:r>
      <w:r w:rsidRPr="005746A1">
        <w:t xml:space="preserve"> located on the periphery of major urban ar</w:t>
      </w:r>
      <w:r w:rsidR="001226BB">
        <w:t>eas is useful, San Marcos can</w:t>
      </w:r>
      <w:r w:rsidRPr="005746A1">
        <w:t xml:space="preserve"> also be compared to other college towns in Texas.</w:t>
      </w:r>
      <w:r>
        <w:t xml:space="preserve">  Such an analysis will help planners and decision makers understand the distinctiveness of college towns compared to other college towns in the same state.</w:t>
      </w:r>
      <w:r w:rsidR="00467132">
        <w:t xml:space="preserve">  In addition, the degree that San Marcos is becoming more or less a college town</w:t>
      </w:r>
      <w:r w:rsidR="00A8675C">
        <w:t>, compared to other college towns in the state,</w:t>
      </w:r>
      <w:r w:rsidR="00467132">
        <w:t xml:space="preserve"> has relevance for</w:t>
      </w:r>
      <w:r w:rsidR="009112EF">
        <w:t xml:space="preserve"> shaping the local policy agenda.  </w:t>
      </w:r>
      <w:r>
        <w:t xml:space="preserve">  </w:t>
      </w:r>
      <w:r w:rsidR="00A8675C">
        <w:t xml:space="preserve">In other words, are the types of challenges facing San Marcos </w:t>
      </w:r>
      <w:r w:rsidR="00DC298F">
        <w:lastRenderedPageBreak/>
        <w:t>becoming more</w:t>
      </w:r>
      <w:r w:rsidR="00196639">
        <w:t xml:space="preserve"> like those of a</w:t>
      </w:r>
      <w:r w:rsidR="00DC298F">
        <w:t xml:space="preserve"> “standard” city or are these challenges</w:t>
      </w:r>
      <w:r w:rsidR="00A8675C">
        <w:t xml:space="preserve"> </w:t>
      </w:r>
      <w:r w:rsidR="00DC298F">
        <w:t xml:space="preserve">more </w:t>
      </w:r>
      <w:r w:rsidR="00A8675C">
        <w:t xml:space="preserve">specific to </w:t>
      </w:r>
      <w:r w:rsidR="00DC298F">
        <w:t>a college town?</w:t>
      </w:r>
    </w:p>
    <w:p w14:paraId="4D71EC2F" w14:textId="495578F4" w:rsidR="00881028" w:rsidRDefault="009112EF" w:rsidP="00881028">
      <w:pPr>
        <w:spacing w:line="480" w:lineRule="auto"/>
        <w:ind w:firstLine="720"/>
      </w:pPr>
      <w:r>
        <w:t xml:space="preserve">There have been </w:t>
      </w:r>
      <w:r w:rsidR="00C62CC1">
        <w:t xml:space="preserve">previous </w:t>
      </w:r>
      <w:r>
        <w:t xml:space="preserve">efforts to create an index that measures the degree </w:t>
      </w:r>
      <w:r w:rsidR="00C62CC1">
        <w:t xml:space="preserve">to which </w:t>
      </w:r>
      <w:r>
        <w:t xml:space="preserve">a city has college town characteristics </w:t>
      </w:r>
      <w:r w:rsidR="006A62DA" w:rsidRPr="006A62DA">
        <w:t>(</w:t>
      </w:r>
      <w:r w:rsidR="00A8675C">
        <w:t xml:space="preserve">see, for examples, </w:t>
      </w:r>
      <w:r w:rsidR="006A62DA" w:rsidRPr="006A62DA">
        <w:t>Gumprecht 2004; Moore 2016)</w:t>
      </w:r>
      <w:r>
        <w:t>.  Based on a review of other studies, a new index was created using the following variables:</w:t>
      </w:r>
      <w:r w:rsidR="009E49FD">
        <w:t xml:space="preserve">  (1) Percent College Students; (2) Percent College Age Renters; (3)  Percent of Residents Born Out-of-State; (4)  Percent of Residents Employed in Education; (5) Median Income; (6) Percent </w:t>
      </w:r>
      <w:r w:rsidR="00C62CC1">
        <w:t xml:space="preserve">of Residents </w:t>
      </w:r>
      <w:r w:rsidR="009E49FD">
        <w:t xml:space="preserve">with Four-Year College Degree; (7) Percent of Residents Who Bike or Walk to Work.  </w:t>
      </w:r>
      <w:r w:rsidR="006C45D6">
        <w:rPr>
          <w:rFonts w:hint="eastAsia"/>
        </w:rPr>
        <w:t>Because</w:t>
      </w:r>
      <w:r w:rsidR="006C45D6">
        <w:t xml:space="preserve"> these variables </w:t>
      </w:r>
      <w:r w:rsidR="00C74B60">
        <w:t xml:space="preserve">have different scales of </w:t>
      </w:r>
      <w:r w:rsidR="00847CF5">
        <w:t xml:space="preserve">measurement, </w:t>
      </w:r>
      <w:r w:rsidR="006C45D6">
        <w:t>the data were converte</w:t>
      </w:r>
      <w:r w:rsidR="006C45D6">
        <w:rPr>
          <w:rFonts w:hint="eastAsia"/>
        </w:rPr>
        <w:t>d</w:t>
      </w:r>
      <w:r w:rsidR="006C45D6">
        <w:t xml:space="preserve"> into z-scores to </w:t>
      </w:r>
      <w:r w:rsidR="00E90336">
        <w:t>standardiz</w:t>
      </w:r>
      <w:r w:rsidR="00E90336">
        <w:rPr>
          <w:rFonts w:hint="eastAsia"/>
        </w:rPr>
        <w:t>e</w:t>
      </w:r>
      <w:r w:rsidR="006C45D6">
        <w:t xml:space="preserve"> the values.  To compar</w:t>
      </w:r>
      <w:r w:rsidR="00C62CC1">
        <w:t>e</w:t>
      </w:r>
      <w:r w:rsidR="006C45D6">
        <w:t xml:space="preserve"> cities with the most reliable data, only college towns with a student population </w:t>
      </w:r>
      <w:r w:rsidR="00196639">
        <w:t>percent greater than 12 percent</w:t>
      </w:r>
      <w:r w:rsidR="00C62CC1">
        <w:t>,</w:t>
      </w:r>
      <w:r w:rsidR="00196639">
        <w:t xml:space="preserve"> and</w:t>
      </w:r>
      <w:r w:rsidR="006C45D6">
        <w:t xml:space="preserve"> with </w:t>
      </w:r>
      <w:r w:rsidR="00196639">
        <w:t xml:space="preserve">a </w:t>
      </w:r>
      <w:r w:rsidR="006C45D6">
        <w:t>total population greater than 10,000</w:t>
      </w:r>
      <w:r w:rsidR="00C62CC1">
        <w:t>,</w:t>
      </w:r>
      <w:r w:rsidR="006C45D6">
        <w:t xml:space="preserve"> were included.  </w:t>
      </w:r>
      <w:r w:rsidR="00881028">
        <w:t xml:space="preserve">The college town index and the use of standardized scores allows for tracking over time and can help decision makers understand how much the university is influencing the social, economic, and demographic trends in the city.  </w:t>
      </w:r>
    </w:p>
    <w:p w14:paraId="4BB639EA" w14:textId="39F30AA8" w:rsidR="006A62DA" w:rsidRDefault="00163865" w:rsidP="00387E58">
      <w:pPr>
        <w:spacing w:line="480" w:lineRule="auto"/>
        <w:ind w:firstLine="720"/>
      </w:pPr>
      <w:r>
        <w:t xml:space="preserve">Using the </w:t>
      </w:r>
      <w:r w:rsidR="00DC298F">
        <w:t>2006-</w:t>
      </w:r>
      <w:r w:rsidR="001226BB">
        <w:t>2010</w:t>
      </w:r>
      <w:r>
        <w:t xml:space="preserve"> estimates</w:t>
      </w:r>
      <w:r w:rsidR="001226BB">
        <w:t xml:space="preserve">, </w:t>
      </w:r>
      <w:r w:rsidR="006A62DA" w:rsidRPr="006A62DA">
        <w:t xml:space="preserve">San Marcos </w:t>
      </w:r>
      <w:r w:rsidR="001226BB">
        <w:t xml:space="preserve">followed </w:t>
      </w:r>
      <w:r w:rsidR="00C62CC1">
        <w:t xml:space="preserve">only </w:t>
      </w:r>
      <w:r w:rsidR="001226BB">
        <w:t xml:space="preserve">College Station in terms of </w:t>
      </w:r>
      <w:r w:rsidR="00C62CC1">
        <w:t xml:space="preserve">its </w:t>
      </w:r>
      <w:r w:rsidR="001226BB">
        <w:t xml:space="preserve">distinctiveness as a college town compared to other college towns </w:t>
      </w:r>
      <w:r>
        <w:t xml:space="preserve">based on the total index score </w:t>
      </w:r>
      <w:r w:rsidR="001226BB">
        <w:t xml:space="preserve">(see </w:t>
      </w:r>
      <w:r w:rsidR="00DC298F">
        <w:t>Figure 5).  However, in the 2011-</w:t>
      </w:r>
      <w:r w:rsidR="001226BB">
        <w:t xml:space="preserve">2015 </w:t>
      </w:r>
      <w:r w:rsidR="00DC298F">
        <w:t>estimates</w:t>
      </w:r>
      <w:r w:rsidR="00465AD8">
        <w:t>,</w:t>
      </w:r>
      <w:r w:rsidR="00DC298F">
        <w:t xml:space="preserve"> </w:t>
      </w:r>
      <w:r>
        <w:t xml:space="preserve">San Marcos fell below </w:t>
      </w:r>
      <w:r w:rsidR="001226BB">
        <w:t>Canyon, Texas</w:t>
      </w:r>
      <w:r>
        <w:t xml:space="preserve"> on the total index score with the third highest index score</w:t>
      </w:r>
      <w:r w:rsidR="001226BB">
        <w:t xml:space="preserve">.  In other words, compared to other college towns, </w:t>
      </w:r>
      <w:r w:rsidR="006A62DA" w:rsidRPr="006A62DA">
        <w:t xml:space="preserve">San Marcos is becoming less distinctive </w:t>
      </w:r>
      <w:r w:rsidR="001226BB">
        <w:t xml:space="preserve">based on the elements of the index.  </w:t>
      </w:r>
      <w:r w:rsidR="00465AD8">
        <w:t xml:space="preserve">The findings indicate that rapid changes can occur in both directions.  For example, </w:t>
      </w:r>
      <w:r w:rsidR="001226BB">
        <w:t>Denton</w:t>
      </w:r>
      <w:r w:rsidR="00465AD8">
        <w:t>,</w:t>
      </w:r>
      <w:r w:rsidR="001226BB">
        <w:t xml:space="preserve"> Texas went </w:t>
      </w:r>
      <w:r w:rsidR="001226BB">
        <w:lastRenderedPageBreak/>
        <w:t>from falling below the standardized mean score to slightly above the mean and has made the largest gains in the college town index.</w:t>
      </w:r>
      <w:r w:rsidR="00C74B60">
        <w:t xml:space="preserve">  </w:t>
      </w:r>
    </w:p>
    <w:p w14:paraId="4703A46B" w14:textId="4B3EADC3" w:rsidR="006A62DA" w:rsidRDefault="006A62DA" w:rsidP="006A62DA"/>
    <w:p w14:paraId="2D43946F" w14:textId="4D6920AD" w:rsidR="00043496" w:rsidRDefault="0042778E" w:rsidP="00A344C8">
      <w:r>
        <w:rPr>
          <w:noProof/>
        </w:rPr>
        <w:drawing>
          <wp:inline distT="0" distB="0" distL="0" distR="0" wp14:anchorId="5517644A" wp14:editId="38AF5AB2">
            <wp:extent cx="5486400" cy="4775835"/>
            <wp:effectExtent l="0" t="0" r="0" b="5715"/>
            <wp:docPr id="3" name="Chart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42C010" w14:textId="7647F4F5" w:rsidR="00043496" w:rsidRDefault="00043496" w:rsidP="00A344C8"/>
    <w:p w14:paraId="418D48A0" w14:textId="77777777" w:rsidR="00043496" w:rsidRDefault="00043496" w:rsidP="00A344C8"/>
    <w:p w14:paraId="25129D96" w14:textId="7A5D89BB" w:rsidR="00A344C8" w:rsidRDefault="00A344C8" w:rsidP="00A344C8"/>
    <w:p w14:paraId="451B0784" w14:textId="77777777" w:rsidR="00387E58" w:rsidRDefault="00387E58" w:rsidP="00A344C8"/>
    <w:p w14:paraId="37EECF24" w14:textId="54F9E98B" w:rsidR="00741B59" w:rsidRDefault="00421698" w:rsidP="00EF7733">
      <w:pPr>
        <w:spacing w:line="480" w:lineRule="auto"/>
      </w:pPr>
      <w:r>
        <w:rPr>
          <w:rFonts w:hint="eastAsia"/>
          <w:i/>
        </w:rPr>
        <w:tab/>
      </w:r>
    </w:p>
    <w:p w14:paraId="467D34B9" w14:textId="59CE895E" w:rsidR="00DC298F" w:rsidRDefault="00DC298F" w:rsidP="00DC298F">
      <w:pPr>
        <w:tabs>
          <w:tab w:val="left" w:pos="3735"/>
        </w:tabs>
        <w:spacing w:line="480" w:lineRule="auto"/>
      </w:pPr>
      <w:r>
        <w:t>Conclusion and Recommendation</w:t>
      </w:r>
    </w:p>
    <w:p w14:paraId="50CE2CED" w14:textId="3BECAD4B" w:rsidR="00EF7733" w:rsidRPr="00EF7733" w:rsidRDefault="00196639" w:rsidP="00EF7733">
      <w:pPr>
        <w:spacing w:line="480" w:lineRule="auto"/>
      </w:pPr>
      <w:r>
        <w:tab/>
        <w:t>This effort to describe poverty in San Marcos in comparative context is intended to be exploratory.  T</w:t>
      </w:r>
      <w:r w:rsidR="00DC298F">
        <w:t xml:space="preserve">he focus of this study was to conceptually clarify student and non-student poverty and describe these two phenomena in San Marcos </w:t>
      </w:r>
      <w:r w:rsidR="00DC298F">
        <w:lastRenderedPageBreak/>
        <w:t>in comparative</w:t>
      </w:r>
      <w:r w:rsidR="00F563BA">
        <w:t xml:space="preserve"> context</w:t>
      </w:r>
      <w:r>
        <w:t>. As with many such studi</w:t>
      </w:r>
      <w:r w:rsidR="00F563BA">
        <w:t>es, more quest</w:t>
      </w:r>
      <w:r>
        <w:t xml:space="preserve">ions are generated </w:t>
      </w:r>
      <w:r w:rsidR="00F563BA">
        <w:t xml:space="preserve">than answered.  </w:t>
      </w:r>
      <w:r w:rsidR="00EF7733" w:rsidRPr="00EF7733">
        <w:t xml:space="preserve">While some questions can be investigated through analysis of aggregate census data, many questions might be better studied through interviews and focus groups with students </w:t>
      </w:r>
      <w:r w:rsidR="00D23261">
        <w:t>and</w:t>
      </w:r>
      <w:r w:rsidR="00EF7733" w:rsidRPr="00EF7733">
        <w:t xml:space="preserve"> low-income</w:t>
      </w:r>
      <w:r w:rsidR="00D23261">
        <w:t>, non-student</w:t>
      </w:r>
      <w:r w:rsidR="00EF7733" w:rsidRPr="00EF7733">
        <w:t xml:space="preserve"> residents.  Student focus group questions could investigate questions such as: </w:t>
      </w:r>
    </w:p>
    <w:p w14:paraId="109E5DD6" w14:textId="5EED2E83" w:rsidR="00EF7733" w:rsidRPr="00EF7733" w:rsidRDefault="00EF7733" w:rsidP="00EF7733">
      <w:pPr>
        <w:numPr>
          <w:ilvl w:val="0"/>
          <w:numId w:val="1"/>
        </w:numPr>
        <w:spacing w:line="480" w:lineRule="auto"/>
      </w:pPr>
      <w:r w:rsidRPr="00EF7733">
        <w:t xml:space="preserve">How long do former students </w:t>
      </w:r>
      <w:r w:rsidR="00166262">
        <w:t xml:space="preserve">plan to </w:t>
      </w:r>
      <w:r w:rsidRPr="00EF7733">
        <w:t>stay in San Marcos after graduation</w:t>
      </w:r>
      <w:r w:rsidR="00D23261">
        <w:t>, and w</w:t>
      </w:r>
      <w:r w:rsidR="00166262">
        <w:t>hy?</w:t>
      </w:r>
    </w:p>
    <w:p w14:paraId="26829723" w14:textId="0CBCAC14" w:rsidR="00EF7733" w:rsidRPr="00EF7733" w:rsidRDefault="00465AD8" w:rsidP="00EF7733">
      <w:pPr>
        <w:numPr>
          <w:ilvl w:val="0"/>
          <w:numId w:val="1"/>
        </w:numPr>
        <w:spacing w:line="480" w:lineRule="auto"/>
      </w:pPr>
      <w:r>
        <w:t>What are</w:t>
      </w:r>
      <w:r w:rsidR="00166262">
        <w:t xml:space="preserve"> </w:t>
      </w:r>
      <w:r>
        <w:t xml:space="preserve">the sources and amounts of income for college students and former students </w:t>
      </w:r>
      <w:r w:rsidR="00EF7733" w:rsidRPr="00EF7733">
        <w:t xml:space="preserve">living in San Marcos?  </w:t>
      </w:r>
    </w:p>
    <w:p w14:paraId="7AECDC9F" w14:textId="62A4897D" w:rsidR="00EF7733" w:rsidRPr="00EF7733" w:rsidRDefault="00166262" w:rsidP="00EF7733">
      <w:pPr>
        <w:numPr>
          <w:ilvl w:val="0"/>
          <w:numId w:val="1"/>
        </w:numPr>
        <w:spacing w:line="480" w:lineRule="auto"/>
      </w:pPr>
      <w:r>
        <w:t>What kinds of support</w:t>
      </w:r>
      <w:r w:rsidR="00D23261">
        <w:t xml:space="preserve"> do current and former students need </w:t>
      </w:r>
      <w:r>
        <w:t>to start businesses or find suitable employment?</w:t>
      </w:r>
    </w:p>
    <w:p w14:paraId="6BD8C7D4" w14:textId="5D3B657D" w:rsidR="00EF7733" w:rsidRPr="00EF7733" w:rsidRDefault="00EF7733" w:rsidP="00EF7733">
      <w:pPr>
        <w:spacing w:line="480" w:lineRule="auto"/>
      </w:pPr>
      <w:r w:rsidRPr="00EF7733">
        <w:rPr>
          <w:rFonts w:hint="eastAsia"/>
        </w:rPr>
        <w:tab/>
      </w:r>
      <w:r w:rsidRPr="00EF7733">
        <w:t xml:space="preserve">As found above, non-student poverty in San Marcos is increasing.  </w:t>
      </w:r>
      <w:r w:rsidR="00D23261">
        <w:t>L</w:t>
      </w:r>
      <w:r w:rsidRPr="00EF7733">
        <w:t>ow income</w:t>
      </w:r>
      <w:r w:rsidR="00D23261">
        <w:t>, non-student</w:t>
      </w:r>
      <w:r w:rsidR="008161B5">
        <w:t xml:space="preserve"> residents</w:t>
      </w:r>
      <w:r w:rsidRPr="00EF7733">
        <w:t xml:space="preserve"> should also be interviewed to investigate questions such as:</w:t>
      </w:r>
    </w:p>
    <w:p w14:paraId="76770AD2" w14:textId="77777777" w:rsidR="00EF7733" w:rsidRPr="00EF7733" w:rsidRDefault="00EF7733" w:rsidP="00EF7733">
      <w:pPr>
        <w:numPr>
          <w:ilvl w:val="0"/>
          <w:numId w:val="2"/>
        </w:numPr>
        <w:spacing w:line="480" w:lineRule="auto"/>
      </w:pPr>
      <w:r w:rsidRPr="00EF7733">
        <w:t>Why did they move to San Marcos?</w:t>
      </w:r>
    </w:p>
    <w:p w14:paraId="4FE70F67" w14:textId="77777777" w:rsidR="00EF7733" w:rsidRPr="00EF7733" w:rsidRDefault="00EF7733" w:rsidP="00EF7733">
      <w:pPr>
        <w:numPr>
          <w:ilvl w:val="0"/>
          <w:numId w:val="2"/>
        </w:numPr>
        <w:spacing w:line="480" w:lineRule="auto"/>
      </w:pPr>
      <w:r w:rsidRPr="00EF7733">
        <w:t>Do they plan to relocate if their income situation improves?</w:t>
      </w:r>
    </w:p>
    <w:p w14:paraId="6E46B8A8" w14:textId="1C66E80F" w:rsidR="00EF7733" w:rsidRPr="00EF7733" w:rsidRDefault="00465AD8" w:rsidP="00EF7733">
      <w:pPr>
        <w:numPr>
          <w:ilvl w:val="0"/>
          <w:numId w:val="2"/>
        </w:numPr>
        <w:spacing w:line="480" w:lineRule="auto"/>
      </w:pPr>
      <w:r>
        <w:t xml:space="preserve">What are the sources and amount of income for non-college low-income residents of San Marcos?  </w:t>
      </w:r>
    </w:p>
    <w:p w14:paraId="2A2707DC" w14:textId="77777777" w:rsidR="00EF7733" w:rsidRPr="00EF7733" w:rsidRDefault="00EF7733" w:rsidP="00EF7733">
      <w:pPr>
        <w:numPr>
          <w:ilvl w:val="0"/>
          <w:numId w:val="2"/>
        </w:numPr>
        <w:spacing w:line="480" w:lineRule="auto"/>
      </w:pPr>
      <w:r w:rsidRPr="00EF7733">
        <w:t>Do they need support to start businesses?</w:t>
      </w:r>
    </w:p>
    <w:p w14:paraId="0A897F86" w14:textId="5745E905" w:rsidR="00F563BA" w:rsidRDefault="00EF7733" w:rsidP="00DC298F">
      <w:pPr>
        <w:numPr>
          <w:ilvl w:val="0"/>
          <w:numId w:val="2"/>
        </w:numPr>
        <w:spacing w:line="480" w:lineRule="auto"/>
      </w:pPr>
      <w:r w:rsidRPr="00EF7733">
        <w:t>Can they access training in needed skill areas?</w:t>
      </w:r>
    </w:p>
    <w:p w14:paraId="74535D1B" w14:textId="5B6C9E76" w:rsidR="00D23261" w:rsidRDefault="00DC298F" w:rsidP="00DC298F">
      <w:pPr>
        <w:spacing w:line="480" w:lineRule="auto"/>
      </w:pPr>
      <w:r>
        <w:t xml:space="preserve"> </w:t>
      </w:r>
      <w:r w:rsidR="00F563BA">
        <w:tab/>
      </w:r>
      <w:r w:rsidR="00EF7733">
        <w:t xml:space="preserve"> </w:t>
      </w:r>
    </w:p>
    <w:p w14:paraId="5632C090" w14:textId="7107EF9A" w:rsidR="00DC298F" w:rsidRDefault="00D23261" w:rsidP="00D23261">
      <w:pPr>
        <w:spacing w:line="480" w:lineRule="auto"/>
        <w:ind w:firstLine="720"/>
      </w:pPr>
      <w:r>
        <w:t>Fortunately, t</w:t>
      </w:r>
      <w:r w:rsidR="00DC298F" w:rsidRPr="00DC298F">
        <w:t xml:space="preserve">he challenges facing San Marcos are not unique. </w:t>
      </w:r>
      <w:r w:rsidR="00F563BA">
        <w:t xml:space="preserve"> Future research on the poverty challenges in San Marcos could follow the approach taken </w:t>
      </w:r>
      <w:r w:rsidR="00F563BA">
        <w:lastRenderedPageBreak/>
        <w:t xml:space="preserve">in Richmond, </w:t>
      </w:r>
      <w:r w:rsidR="00DB6060">
        <w:t>Virginia</w:t>
      </w:r>
      <w:r w:rsidR="000A33B4">
        <w:t>, another city with a large university student presence (Virginia Commonwealth University)</w:t>
      </w:r>
      <w:r w:rsidR="00F563BA">
        <w:t>.</w:t>
      </w:r>
      <w:r>
        <w:t xml:space="preserve"> </w:t>
      </w:r>
      <w:r w:rsidR="000A33B4">
        <w:t>Richmond</w:t>
      </w:r>
      <w:r w:rsidR="00DB6060">
        <w:t xml:space="preserve"> </w:t>
      </w:r>
      <w:r w:rsidR="000A33B4">
        <w:t>Virginia</w:t>
      </w:r>
      <w:r w:rsidR="00DB6060">
        <w:t xml:space="preserve"> Mayor Dwight C. Jones created a mayor’s commission on poverty in 2011</w:t>
      </w:r>
      <w:r w:rsidR="00F563BA">
        <w:t xml:space="preserve"> </w:t>
      </w:r>
      <w:r w:rsidR="00DB6060">
        <w:t>(Mayor’s Anti Poverty Commission Report 2013</w:t>
      </w:r>
      <w:r w:rsidR="00EF7733">
        <w:t>).</w:t>
      </w:r>
      <w:r w:rsidR="00DB6060">
        <w:t xml:space="preserve">  This commission included</w:t>
      </w:r>
      <w:r w:rsidR="000A33B4">
        <w:t xml:space="preserve"> 50</w:t>
      </w:r>
      <w:r w:rsidR="00DB6060">
        <w:t xml:space="preserve"> members from various civic, academic, community groups, and business leaders.    </w:t>
      </w:r>
      <w:r w:rsidR="000A33B4">
        <w:t xml:space="preserve">These members were divided into committees including:  Education and Workforce Development; Job Creation; Transportation and Regionalism; Policy and Legislation; Unique, Healthy, and Inclusive Communities; and Asset Building.  </w:t>
      </w:r>
      <w:r w:rsidR="008161B5">
        <w:t xml:space="preserve">This commission was able to gather the necessary information from both census records and interviews with key stakeholders and residents.   The results of the student included specific recommendations for addressing the poverty issue </w:t>
      </w:r>
      <w:r w:rsidR="00082636">
        <w:t>in Richmond.</w:t>
      </w:r>
    </w:p>
    <w:p w14:paraId="653F5291" w14:textId="423DE53F" w:rsidR="00D23261" w:rsidRDefault="00D23261" w:rsidP="00D23261">
      <w:pPr>
        <w:spacing w:line="480" w:lineRule="auto"/>
        <w:ind w:firstLine="720"/>
      </w:pPr>
      <w:r>
        <w:t xml:space="preserve">Completing a project with the scope described above is beyond the capacity of a single academic or an academic research project.  A better understanding of the issue can be attained with significant community participation and engagement.   </w:t>
      </w:r>
    </w:p>
    <w:p w14:paraId="66C48B21" w14:textId="042EA0FA" w:rsidR="00DC298F" w:rsidRPr="00741B59" w:rsidRDefault="00DC298F" w:rsidP="00DC298F">
      <w:pPr>
        <w:tabs>
          <w:tab w:val="left" w:pos="3735"/>
        </w:tabs>
        <w:spacing w:line="480" w:lineRule="auto"/>
      </w:pPr>
    </w:p>
    <w:p w14:paraId="70551270" w14:textId="165F5CCD" w:rsidR="00A344C8" w:rsidRDefault="00A344C8" w:rsidP="00A344C8">
      <w:pPr>
        <w:tabs>
          <w:tab w:val="left" w:pos="3735"/>
        </w:tabs>
      </w:pPr>
      <w:r>
        <w:tab/>
      </w:r>
    </w:p>
    <w:p w14:paraId="6377DA92" w14:textId="77777777" w:rsidR="00A344C8" w:rsidRDefault="00A344C8">
      <w:r>
        <w:br w:type="page"/>
      </w:r>
    </w:p>
    <w:p w14:paraId="10F15BE7" w14:textId="77777777" w:rsidR="00A344C8" w:rsidRDefault="00A344C8" w:rsidP="00A344C8">
      <w:pPr>
        <w:tabs>
          <w:tab w:val="left" w:pos="3735"/>
        </w:tabs>
      </w:pPr>
    </w:p>
    <w:p w14:paraId="2B7666CF" w14:textId="489E1FF4" w:rsidR="00A344C8" w:rsidRPr="00A344C8" w:rsidRDefault="00A344C8" w:rsidP="00A344C8">
      <w:pPr>
        <w:jc w:val="center"/>
      </w:pPr>
      <w:r>
        <w:t>References</w:t>
      </w:r>
    </w:p>
    <w:p w14:paraId="69730679" w14:textId="77777777" w:rsidR="008B6254" w:rsidRDefault="008B6254"/>
    <w:p w14:paraId="7CCC3E66" w14:textId="270EF66E" w:rsidR="008B6254" w:rsidRDefault="00B24C17">
      <w:r>
        <w:t>Alex</w:t>
      </w:r>
      <w:r w:rsidR="00365635">
        <w:t>-Assensoh, Y.  1997.  Race, Concentrated Poverty, Social Isolation, and Political Behavior.  Urban Affairs Review 33:  209-227.</w:t>
      </w:r>
    </w:p>
    <w:p w14:paraId="4282C537" w14:textId="77777777" w:rsidR="007423B0" w:rsidRDefault="007423B0"/>
    <w:p w14:paraId="33B018D5" w14:textId="77777777" w:rsidR="00365635" w:rsidRPr="00365635" w:rsidRDefault="00365635" w:rsidP="00365635">
      <w:r w:rsidRPr="00365635">
        <w:t xml:space="preserve">City of Richmond Mayor’s Anti-Poverty Commission. 2013.  Mayor’s Anti-Poverty Commission Report.  Retrieved from:    </w:t>
      </w:r>
      <w:hyperlink r:id="rId15" w:history="1">
        <w:r w:rsidRPr="00365635">
          <w:rPr>
            <w:rStyle w:val="Hyperlink"/>
          </w:rPr>
          <w:t>http://www.richmondgov.com/CommissionAntiPoverty/documents/Antipovertycommissionfinal1_17_2013c--printready.pdf</w:t>
        </w:r>
      </w:hyperlink>
      <w:r w:rsidRPr="00365635">
        <w:t xml:space="preserve"> </w:t>
      </w:r>
    </w:p>
    <w:p w14:paraId="3E1CBE02" w14:textId="623DC91B" w:rsidR="00365635" w:rsidRDefault="00365635"/>
    <w:p w14:paraId="7E39D3D6" w14:textId="4C2EE53A" w:rsidR="00A60B73" w:rsidRDefault="00A60B73">
      <w:r>
        <w:t>Davila</w:t>
      </w:r>
      <w:r w:rsidR="00F56E35">
        <w:t xml:space="preserve">, V.  2015.  </w:t>
      </w:r>
      <w:r w:rsidR="00EA3A5C">
        <w:t xml:space="preserve">San Marcos fastest growing city in the US for the third year running:  But San Marcos is hottest of hot spots.  San Antonio Express News.  Retrieved from:  </w:t>
      </w:r>
      <w:hyperlink r:id="rId16" w:history="1">
        <w:r w:rsidR="00EA3A5C" w:rsidRPr="00C55388">
          <w:rPr>
            <w:rStyle w:val="Hyperlink"/>
          </w:rPr>
          <w:t>http://www.expressnews.com/news/local/article/San-Marcos-fastest-growing-city-in-the-U-S-for-6277231.php</w:t>
        </w:r>
      </w:hyperlink>
      <w:r w:rsidR="00EA3A5C">
        <w:t xml:space="preserve"> </w:t>
      </w:r>
    </w:p>
    <w:p w14:paraId="4C2567C8" w14:textId="77777777" w:rsidR="00A60B73" w:rsidRDefault="00A60B73"/>
    <w:p w14:paraId="161AA47D" w14:textId="77777777" w:rsidR="00A60B73" w:rsidRDefault="00A60B73" w:rsidP="00A60B73">
      <w:r>
        <w:t>Gumprecht, B.  2006.  Fraternity Row, The Student Ghetto, and the Faculty Enclave:  Characteristic Resiential Districts in the American College Town.  Journal of Urban History 32:231-273</w:t>
      </w:r>
    </w:p>
    <w:p w14:paraId="17250789" w14:textId="77777777" w:rsidR="00A60B73" w:rsidRDefault="00A60B73" w:rsidP="00A60B73"/>
    <w:p w14:paraId="029EC81F" w14:textId="77777777" w:rsidR="00A60B73" w:rsidRDefault="00A60B73" w:rsidP="00A60B73">
      <w:r>
        <w:t xml:space="preserve">Gumprech, B. 2003.  The American College Town.  </w:t>
      </w:r>
      <w:r w:rsidRPr="00B75676">
        <w:rPr>
          <w:i/>
        </w:rPr>
        <w:t>Geographical Review</w:t>
      </w:r>
      <w:r>
        <w:t xml:space="preserve"> 93:51-80.</w:t>
      </w:r>
    </w:p>
    <w:p w14:paraId="20700D54" w14:textId="77777777" w:rsidR="00A60B73" w:rsidRDefault="00A60B73" w:rsidP="00A60B73"/>
    <w:p w14:paraId="05BC0E9D" w14:textId="77777777" w:rsidR="00A60B73" w:rsidRDefault="00A60B73" w:rsidP="00A60B73">
      <w:r>
        <w:t>Gumprech, B.  2004.  The American College Town.  University of Massachusetts Press.</w:t>
      </w:r>
    </w:p>
    <w:p w14:paraId="1A893EE8" w14:textId="77777777" w:rsidR="00A60B73" w:rsidRDefault="00A60B73" w:rsidP="00A60B73"/>
    <w:p w14:paraId="1E3F01A8" w14:textId="77777777" w:rsidR="00A60B73" w:rsidRDefault="00A60B73" w:rsidP="00A60B73">
      <w:r>
        <w:t>Holiday, AL and RE Dwyer.  2009.  Suburban Neighborhood Poverty in US Metropolitan Areas in 2000.  City and Community 8:155-176.</w:t>
      </w:r>
    </w:p>
    <w:p w14:paraId="722F466C" w14:textId="77777777" w:rsidR="00A60B73" w:rsidRDefault="00A60B73" w:rsidP="00A60B73"/>
    <w:p w14:paraId="3B06F576" w14:textId="329034CD" w:rsidR="00EA3A5C" w:rsidRDefault="00EA3A5C" w:rsidP="00A60B73">
      <w:r>
        <w:t xml:space="preserve">Kotkin, J. 2016.  America’s Next Great Metropolis is Taking Shape in Texas.  Forbes.  Retrieved from:  </w:t>
      </w:r>
      <w:hyperlink r:id="rId17" w:anchor="142070411e2f" w:history="1">
        <w:r w:rsidRPr="00C55388">
          <w:rPr>
            <w:rStyle w:val="Hyperlink"/>
          </w:rPr>
          <w:t>https://www.forbes.com/sites/joelkotkin/2016/10/13/the-next-great-american-metropolis-is-taking-shape-in-texas/#142070411e2f</w:t>
        </w:r>
      </w:hyperlink>
      <w:r>
        <w:t xml:space="preserve"> </w:t>
      </w:r>
    </w:p>
    <w:p w14:paraId="3E8CCFA6" w14:textId="77777777" w:rsidR="00EA3A5C" w:rsidRDefault="00EA3A5C" w:rsidP="00A60B73"/>
    <w:p w14:paraId="44CB6358" w14:textId="387D5B5A" w:rsidR="00365635" w:rsidRDefault="00365635" w:rsidP="00A60B73">
      <w:r w:rsidRPr="00365635">
        <w:t xml:space="preserve">Lee, MR. 2000.  Concentrated Poverty, Race, and Homicide.  </w:t>
      </w:r>
      <w:r w:rsidRPr="00365635">
        <w:rPr>
          <w:i/>
        </w:rPr>
        <w:t>The Sociological Quarterly</w:t>
      </w:r>
      <w:r w:rsidRPr="00365635">
        <w:t xml:space="preserve">.  41:189-206.  </w:t>
      </w:r>
    </w:p>
    <w:p w14:paraId="194B6D6C" w14:textId="77777777" w:rsidR="00365635" w:rsidRDefault="00365635" w:rsidP="00A60B73"/>
    <w:p w14:paraId="1AAD8683" w14:textId="2DE08497" w:rsidR="00A60B73" w:rsidRDefault="00A60B73" w:rsidP="00A60B73">
      <w:r>
        <w:t xml:space="preserve">Moore, JG.  2016.  Mississippi College Towns:  Assessing the Geography of Collegiate Culture. Thesis, University of Southern Mississippi.  </w:t>
      </w:r>
    </w:p>
    <w:p w14:paraId="0E0E0B03" w14:textId="00223E31" w:rsidR="00A60B73" w:rsidRDefault="00A60B73" w:rsidP="00A60B73"/>
    <w:p w14:paraId="3CB890C1" w14:textId="1ED73F62" w:rsidR="00365635" w:rsidRDefault="00365635" w:rsidP="00A60B73">
      <w:r w:rsidRPr="00365635">
        <w:t xml:space="preserve">Patton-Lopez, M.M, DF Lopez-Cevallos, DI Cancel-Tirado, L Vasquez.  2013.  Prevalence and Correlates of Food Insecurity Among Students Attending a Midsize Rural University in Oregon.  </w:t>
      </w:r>
      <w:r w:rsidRPr="00365635">
        <w:rPr>
          <w:i/>
        </w:rPr>
        <w:t>Journal of Nutrition Education and Behavior</w:t>
      </w:r>
      <w:r w:rsidRPr="00365635">
        <w:t xml:space="preserve"> 46:209-214.</w:t>
      </w:r>
    </w:p>
    <w:p w14:paraId="1EE985EF" w14:textId="77777777" w:rsidR="00365635" w:rsidRDefault="00365635" w:rsidP="00A60B73"/>
    <w:p w14:paraId="4BC92724" w14:textId="77777777" w:rsidR="00A60B73" w:rsidRDefault="00A60B73" w:rsidP="00A60B73">
      <w:r>
        <w:t xml:space="preserve">Pickren, G.  2012.  “Where Can I Build My Student Housing?”:  The Politics of Studentification in Athens-Clarke County, Georgia.  Southeastern Geographer 52:113-130.  </w:t>
      </w:r>
    </w:p>
    <w:p w14:paraId="7EEF5AA1" w14:textId="77777777" w:rsidR="00A60B73" w:rsidRDefault="00A60B73" w:rsidP="00A60B73"/>
    <w:p w14:paraId="3F74C86D" w14:textId="77777777" w:rsidR="00A60B73" w:rsidRDefault="00A60B73" w:rsidP="00A60B73">
      <w:r>
        <w:lastRenderedPageBreak/>
        <w:t xml:space="preserve">Rorem, A and L. Juday.  How to Modify Poverty Calculations for College Towns.  </w:t>
      </w:r>
      <w:hyperlink r:id="rId18" w:history="1">
        <w:r w:rsidRPr="00220590">
          <w:rPr>
            <w:rStyle w:val="Hyperlink"/>
          </w:rPr>
          <w:t>http://statchatva.org/2016/03/07/how-to-modify-poverty-calculations-for-college-towns/</w:t>
        </w:r>
      </w:hyperlink>
    </w:p>
    <w:p w14:paraId="520B3447" w14:textId="77777777" w:rsidR="00A60B73" w:rsidRDefault="00A60B73"/>
    <w:p w14:paraId="65A2B45F" w14:textId="77777777" w:rsidR="004A3683" w:rsidRDefault="004A3683"/>
    <w:p w14:paraId="2DEE7EFF" w14:textId="0887B161" w:rsidR="004A3683" w:rsidRDefault="004A3683">
      <w:r>
        <w:t>Thorne</w:t>
      </w:r>
      <w:r w:rsidR="00FF5B74">
        <w:t xml:space="preserve">, B.  2017.  Poverty Persists, but rising wages in San Marcos signal improvements.  </w:t>
      </w:r>
      <w:r w:rsidR="00FF5B74" w:rsidRPr="00FF5B74">
        <w:rPr>
          <w:i/>
        </w:rPr>
        <w:t>Community Impact</w:t>
      </w:r>
      <w:r w:rsidR="00FF5B74">
        <w:t xml:space="preserve">.  Retrieved from:  </w:t>
      </w:r>
      <w:hyperlink r:id="rId19" w:history="1">
        <w:r w:rsidR="00FF5B74" w:rsidRPr="00C55388">
          <w:rPr>
            <w:rStyle w:val="Hyperlink"/>
          </w:rPr>
          <w:t>https://communityimpact.com/austin/san-marcos-buda-kyle/city-county/2017/02/15/poverty-persists-rising-wages-san-marcos-signal-improvements/</w:t>
        </w:r>
      </w:hyperlink>
      <w:r w:rsidR="00FF5B74">
        <w:t xml:space="preserve">  </w:t>
      </w:r>
    </w:p>
    <w:p w14:paraId="58AC831F" w14:textId="1236F12B" w:rsidR="00E42E1E" w:rsidRDefault="00E42E1E"/>
    <w:p w14:paraId="131A8469" w14:textId="11C7C6F0" w:rsidR="00E42E1E" w:rsidRPr="00E42E1E" w:rsidRDefault="00E42E1E" w:rsidP="00E42E1E">
      <w:r w:rsidRPr="00E42E1E">
        <w:t>U.S. Bureau of the Census.  2017</w:t>
      </w:r>
      <w:r w:rsidR="006102A1">
        <w:t>a</w:t>
      </w:r>
      <w:r w:rsidRPr="00E42E1E">
        <w:t>.  ACS Methodology.  Retrieved from:</w:t>
      </w:r>
    </w:p>
    <w:p w14:paraId="7B5679CC" w14:textId="77777777" w:rsidR="00E42E1E" w:rsidRPr="00E42E1E" w:rsidRDefault="007B6592" w:rsidP="00E42E1E">
      <w:hyperlink r:id="rId20" w:history="1">
        <w:r w:rsidR="00E42E1E" w:rsidRPr="00E42E1E">
          <w:rPr>
            <w:rStyle w:val="Hyperlink"/>
          </w:rPr>
          <w:t>https://www.census.gov/programs-surveys/acs/methodology/design-and-methodology.html</w:t>
        </w:r>
      </w:hyperlink>
    </w:p>
    <w:p w14:paraId="3F8B7627" w14:textId="77777777" w:rsidR="00E42E1E" w:rsidRPr="00E42E1E" w:rsidRDefault="00E42E1E" w:rsidP="00E42E1E"/>
    <w:p w14:paraId="60CEBAB6" w14:textId="705049CC" w:rsidR="00E42E1E" w:rsidRPr="00E42E1E" w:rsidRDefault="00E42E1E">
      <w:pPr>
        <w:rPr>
          <w:b/>
          <w:bCs/>
        </w:rPr>
      </w:pPr>
      <w:r w:rsidRPr="00E42E1E">
        <w:t>U.S. Bureau of the Census.  2017</w:t>
      </w:r>
      <w:r w:rsidR="006102A1">
        <w:t>b</w:t>
      </w:r>
      <w:r w:rsidRPr="00E42E1E">
        <w:t xml:space="preserve">.  </w:t>
      </w:r>
      <w:r w:rsidRPr="00E42E1E">
        <w:rPr>
          <w:bCs/>
        </w:rPr>
        <w:t>When to Use 1-year, 3-year, or 5-year Estimates.  Retrivied from:</w:t>
      </w:r>
      <w:r w:rsidRPr="00E42E1E">
        <w:rPr>
          <w:b/>
          <w:bCs/>
        </w:rPr>
        <w:t xml:space="preserve">  </w:t>
      </w:r>
      <w:hyperlink r:id="rId21" w:history="1">
        <w:r w:rsidRPr="00E42E1E">
          <w:rPr>
            <w:rStyle w:val="Hyperlink"/>
          </w:rPr>
          <w:t>https://www.census.gov/programs-surveys/acs/guidance/estimates.html</w:t>
        </w:r>
      </w:hyperlink>
      <w:r w:rsidRPr="00E42E1E">
        <w:rPr>
          <w:b/>
          <w:bCs/>
        </w:rPr>
        <w:t xml:space="preserve">  </w:t>
      </w:r>
    </w:p>
    <w:p w14:paraId="318AD85A" w14:textId="77777777" w:rsidR="004A3683" w:rsidRDefault="004A3683"/>
    <w:p w14:paraId="3D787153" w14:textId="05FD2E6A" w:rsidR="004A3683" w:rsidRDefault="004A3683">
      <w:r>
        <w:t>Walsh</w:t>
      </w:r>
      <w:r w:rsidR="00F56E35">
        <w:t xml:space="preserve">, S. C.  2014.  San Marcos:  Poverty in a boomtown.  American Statesman.  Retrieved from:  </w:t>
      </w:r>
      <w:hyperlink r:id="rId22" w:history="1">
        <w:r w:rsidR="00F56E35" w:rsidRPr="00C55388">
          <w:rPr>
            <w:rStyle w:val="Hyperlink"/>
          </w:rPr>
          <w:t>http://www.mystatesman.com/news/local/san-marcos-poverty-boomtown/xOvfNjYg9hDNdhb8Gy4rNK/</w:t>
        </w:r>
      </w:hyperlink>
      <w:r w:rsidR="00F56E35">
        <w:t xml:space="preserve"> </w:t>
      </w:r>
    </w:p>
    <w:p w14:paraId="3D994557" w14:textId="7407BD02" w:rsidR="00155E96" w:rsidRDefault="00155E96"/>
    <w:p w14:paraId="018F475C" w14:textId="77777777" w:rsidR="000A0353" w:rsidRDefault="000A0353"/>
    <w:p w14:paraId="70B13EFA" w14:textId="12F9A116" w:rsidR="000A0353" w:rsidRPr="008015DB" w:rsidRDefault="000A0353">
      <w:pPr>
        <w:rPr>
          <w:b/>
        </w:rPr>
      </w:pPr>
      <w:r w:rsidRPr="008015DB">
        <w:rPr>
          <w:b/>
        </w:rPr>
        <w:t>Suggested citation</w:t>
      </w:r>
    </w:p>
    <w:p w14:paraId="5ACA039E" w14:textId="77777777" w:rsidR="000A0353" w:rsidRDefault="000A0353"/>
    <w:p w14:paraId="7E47E27E" w14:textId="26F39648" w:rsidR="000A0353" w:rsidRPr="000A0353" w:rsidRDefault="000A0353" w:rsidP="000A0353">
      <w:pPr>
        <w:rPr>
          <w:b/>
        </w:rPr>
      </w:pPr>
      <w:r>
        <w:t xml:space="preserve">Longoria, T.  2017.  </w:t>
      </w:r>
      <w:r w:rsidRPr="000A0353">
        <w:t>Understanding Poverty in San Marcos, Texas: A Comparativ</w:t>
      </w:r>
      <w:r w:rsidRPr="000A0353">
        <w:rPr>
          <w:rFonts w:hint="eastAsia"/>
        </w:rPr>
        <w:t>e</w:t>
      </w:r>
      <w:r w:rsidRPr="000A0353">
        <w:t xml:space="preserve"> Perspectiv</w:t>
      </w:r>
      <w:r w:rsidRPr="000A0353">
        <w:rPr>
          <w:rFonts w:hint="eastAsia"/>
        </w:rPr>
        <w:t>e</w:t>
      </w:r>
      <w:r>
        <w:t xml:space="preserve"> (CRPPT Working Paper 17-1).  San Marcos, TX:  Texas State University, Center for Research, Public Policy, and Training.  </w:t>
      </w:r>
    </w:p>
    <w:p w14:paraId="0DA596EC" w14:textId="249B8B9E" w:rsidR="000A0353" w:rsidRDefault="000A0353"/>
    <w:p w14:paraId="3C05F319" w14:textId="7257B25A" w:rsidR="00155E96" w:rsidRDefault="00155E96"/>
    <w:p w14:paraId="41EB85A3" w14:textId="5B6F6BCB" w:rsidR="000A0353" w:rsidRDefault="000A0353">
      <w:r>
        <w:br w:type="page"/>
      </w:r>
    </w:p>
    <w:p w14:paraId="4B355D4B" w14:textId="77777777" w:rsidR="000A0353" w:rsidRDefault="000A0353" w:rsidP="000A0353">
      <w:pPr>
        <w:jc w:val="center"/>
        <w:rPr>
          <w:b/>
        </w:rPr>
      </w:pPr>
      <w:r>
        <w:rPr>
          <w:b/>
        </w:rPr>
        <w:lastRenderedPageBreak/>
        <w:t>Acknowledgments</w:t>
      </w:r>
    </w:p>
    <w:p w14:paraId="5948DCA3" w14:textId="77777777" w:rsidR="000A0353" w:rsidRDefault="000A0353" w:rsidP="000A0353">
      <w:pPr>
        <w:jc w:val="center"/>
        <w:rPr>
          <w:b/>
        </w:rPr>
      </w:pPr>
    </w:p>
    <w:p w14:paraId="5B45439D" w14:textId="77777777" w:rsidR="000A0353" w:rsidRDefault="000A0353" w:rsidP="000A0353">
      <w:pPr>
        <w:jc w:val="center"/>
        <w:rPr>
          <w:b/>
        </w:rPr>
      </w:pPr>
    </w:p>
    <w:p w14:paraId="0B3FB52E" w14:textId="77777777" w:rsidR="000A0353" w:rsidRDefault="000A0353" w:rsidP="000A0353">
      <w:r w:rsidRPr="00E164CB">
        <w:t>This impetus of this project included conversations with individuals with the Greater San Marcos Partnership and City of San Marcos elected and appointed officials</w:t>
      </w:r>
      <w:r>
        <w:t>.  T</w:t>
      </w:r>
      <w:r w:rsidRPr="00E164CB">
        <w:t xml:space="preserve">hese </w:t>
      </w:r>
      <w:r>
        <w:t xml:space="preserve">conversations made it </w:t>
      </w:r>
      <w:r w:rsidRPr="00E164CB">
        <w:t xml:space="preserve">clear that there was a need for better data on poverty statistics.  </w:t>
      </w:r>
      <w:r>
        <w:t xml:space="preserve">I am thankful to those individuals for asking the Center for Public Policy, Research, and Training to study the subject.  </w:t>
      </w:r>
    </w:p>
    <w:p w14:paraId="261662B4" w14:textId="77777777" w:rsidR="000A0353" w:rsidRDefault="000A0353" w:rsidP="000A0353"/>
    <w:p w14:paraId="43D567AF" w14:textId="77777777" w:rsidR="000A0353" w:rsidRDefault="000A0353" w:rsidP="000A0353">
      <w:r>
        <w:t xml:space="preserve">This project was completed with research assistance provided by students the in the Master of Public Administration Program.  Many thanks to the following students for their yeoman service:  </w:t>
      </w:r>
    </w:p>
    <w:p w14:paraId="6CF78BAC" w14:textId="77777777" w:rsidR="000A0353" w:rsidRPr="00044D08" w:rsidRDefault="000A0353" w:rsidP="000A0353">
      <w:pPr>
        <w:ind w:left="360" w:firstLine="720"/>
      </w:pPr>
      <w:r w:rsidRPr="00044D08">
        <w:t>John Crawford</w:t>
      </w:r>
    </w:p>
    <w:p w14:paraId="6FB64349" w14:textId="77777777" w:rsidR="000A0353" w:rsidRDefault="000A0353" w:rsidP="000A0353">
      <w:pPr>
        <w:ind w:left="360" w:firstLine="720"/>
      </w:pPr>
      <w:r w:rsidRPr="00044D08">
        <w:t>Odis Favors</w:t>
      </w:r>
    </w:p>
    <w:p w14:paraId="3E4046D3" w14:textId="77777777" w:rsidR="000A0353" w:rsidRPr="00044D08" w:rsidRDefault="000A0353" w:rsidP="000A0353">
      <w:pPr>
        <w:ind w:left="360" w:firstLine="720"/>
      </w:pPr>
      <w:r w:rsidRPr="00044D08">
        <w:t>Eric Johnson</w:t>
      </w:r>
    </w:p>
    <w:p w14:paraId="42E9D781" w14:textId="77777777" w:rsidR="000A0353" w:rsidRPr="00044D08" w:rsidRDefault="000A0353" w:rsidP="000A0353">
      <w:pPr>
        <w:ind w:left="360" w:firstLine="720"/>
      </w:pPr>
      <w:r w:rsidRPr="00044D08">
        <w:t>Jasmine McDaniel</w:t>
      </w:r>
    </w:p>
    <w:p w14:paraId="1FFD5B50" w14:textId="77777777" w:rsidR="000A0353" w:rsidRPr="00044D08" w:rsidRDefault="000A0353" w:rsidP="000A0353">
      <w:pPr>
        <w:ind w:left="720" w:firstLine="360"/>
      </w:pPr>
      <w:r w:rsidRPr="00044D08">
        <w:t>Lisa Paiz</w:t>
      </w:r>
    </w:p>
    <w:p w14:paraId="55A4D1AB" w14:textId="77777777" w:rsidR="000A0353" w:rsidRPr="00044D08" w:rsidRDefault="000A0353" w:rsidP="000A0353">
      <w:pPr>
        <w:ind w:left="360" w:firstLine="720"/>
      </w:pPr>
      <w:r w:rsidRPr="00044D08">
        <w:t>Sergio Vasquez</w:t>
      </w:r>
    </w:p>
    <w:p w14:paraId="2F0C8382" w14:textId="77777777" w:rsidR="000A0353" w:rsidRPr="00044D08" w:rsidRDefault="000A0353" w:rsidP="000A0353">
      <w:pPr>
        <w:ind w:left="360" w:firstLine="720"/>
      </w:pPr>
      <w:r w:rsidRPr="00044D08">
        <w:t>Rand Zeolla</w:t>
      </w:r>
    </w:p>
    <w:p w14:paraId="5C873CD3" w14:textId="77777777" w:rsidR="00A57990" w:rsidRDefault="00A57990"/>
    <w:sectPr w:rsidR="00A57990" w:rsidSect="00AC1710">
      <w:headerReference w:type="default" r:id="rId23"/>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A123F" w14:textId="77777777" w:rsidR="007B6592" w:rsidRDefault="007B6592" w:rsidP="000E732E">
      <w:r>
        <w:separator/>
      </w:r>
    </w:p>
  </w:endnote>
  <w:endnote w:type="continuationSeparator" w:id="0">
    <w:p w14:paraId="0335CC02" w14:textId="77777777" w:rsidR="007B6592" w:rsidRDefault="007B6592" w:rsidP="000E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F2C3" w14:textId="77777777" w:rsidR="00163865" w:rsidRDefault="00163865" w:rsidP="000E7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9CE15" w14:textId="77777777" w:rsidR="00163865" w:rsidRDefault="00163865" w:rsidP="000E7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8618" w14:textId="1671F6BF" w:rsidR="00163865" w:rsidRDefault="00163865" w:rsidP="000E7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1E87">
      <w:rPr>
        <w:rStyle w:val="PageNumber"/>
        <w:noProof/>
      </w:rPr>
      <w:t>8</w:t>
    </w:r>
    <w:r>
      <w:rPr>
        <w:rStyle w:val="PageNumber"/>
      </w:rPr>
      <w:fldChar w:fldCharType="end"/>
    </w:r>
  </w:p>
  <w:p w14:paraId="2F047B6B" w14:textId="082DDCFC" w:rsidR="00163865" w:rsidRDefault="00163865" w:rsidP="008015DB">
    <w:pPr>
      <w:pStyle w:val="Footer"/>
      <w:ind w:right="360"/>
      <w:jc w:val="center"/>
    </w:pPr>
    <w:r>
      <w:t>Center for Research, Public Policy, and Training</w:t>
    </w:r>
  </w:p>
  <w:p w14:paraId="4E21F7D7" w14:textId="628355E9" w:rsidR="00163865" w:rsidRDefault="00163865" w:rsidP="008015DB">
    <w:pPr>
      <w:pStyle w:val="Footer"/>
      <w:ind w:right="360"/>
      <w:jc w:val="center"/>
    </w:pPr>
    <w:r>
      <w:t>Texas State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9D613" w14:textId="77777777" w:rsidR="007B6592" w:rsidRDefault="007B6592" w:rsidP="000E732E">
      <w:r>
        <w:separator/>
      </w:r>
    </w:p>
  </w:footnote>
  <w:footnote w:type="continuationSeparator" w:id="0">
    <w:p w14:paraId="60B3E847" w14:textId="77777777" w:rsidR="007B6592" w:rsidRDefault="007B6592" w:rsidP="000E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7F13" w14:textId="77777777" w:rsidR="00163865" w:rsidRPr="000A0353" w:rsidRDefault="00163865" w:rsidP="000A0353">
    <w:pPr>
      <w:jc w:val="center"/>
      <w:rPr>
        <w:b/>
      </w:rPr>
    </w:pPr>
    <w:r w:rsidRPr="000A0353">
      <w:rPr>
        <w:b/>
      </w:rPr>
      <w:t>Understanding Poverty in San Marcos, Texas: A Comparativ</w:t>
    </w:r>
    <w:r w:rsidRPr="000A0353">
      <w:rPr>
        <w:rFonts w:hint="eastAsia"/>
        <w:b/>
      </w:rPr>
      <w:t>e</w:t>
    </w:r>
    <w:r w:rsidRPr="000A0353">
      <w:rPr>
        <w:b/>
      </w:rPr>
      <w:t xml:space="preserve"> Perspectiv</w:t>
    </w:r>
    <w:r w:rsidRPr="000A0353">
      <w:rPr>
        <w:rFonts w:hint="eastAsia"/>
        <w:b/>
      </w:rPr>
      <w:t>e</w:t>
    </w:r>
  </w:p>
  <w:p w14:paraId="52C1A2BB" w14:textId="77777777" w:rsidR="00163865" w:rsidRDefault="00163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E2F20"/>
    <w:multiLevelType w:val="hybridMultilevel"/>
    <w:tmpl w:val="380EBA56"/>
    <w:lvl w:ilvl="0" w:tplc="20A84ACE">
      <w:start w:val="1"/>
      <w:numFmt w:val="bullet"/>
      <w:lvlText w:val="–"/>
      <w:lvlJc w:val="left"/>
      <w:pPr>
        <w:tabs>
          <w:tab w:val="num" w:pos="360"/>
        </w:tabs>
        <w:ind w:left="360" w:hanging="360"/>
      </w:pPr>
      <w:rPr>
        <w:rFonts w:ascii="Times New Roman" w:hAnsi="Times New Roman" w:hint="default"/>
      </w:rPr>
    </w:lvl>
    <w:lvl w:ilvl="1" w:tplc="4030E598">
      <w:start w:val="1"/>
      <w:numFmt w:val="bullet"/>
      <w:lvlText w:val="–"/>
      <w:lvlJc w:val="left"/>
      <w:pPr>
        <w:tabs>
          <w:tab w:val="num" w:pos="1080"/>
        </w:tabs>
        <w:ind w:left="1080" w:hanging="360"/>
      </w:pPr>
      <w:rPr>
        <w:rFonts w:ascii="Times New Roman" w:hAnsi="Times New Roman" w:hint="default"/>
      </w:rPr>
    </w:lvl>
    <w:lvl w:ilvl="2" w:tplc="A40E43BC">
      <w:start w:val="1"/>
      <w:numFmt w:val="bullet"/>
      <w:lvlText w:val="–"/>
      <w:lvlJc w:val="left"/>
      <w:pPr>
        <w:tabs>
          <w:tab w:val="num" w:pos="1800"/>
        </w:tabs>
        <w:ind w:left="1800" w:hanging="360"/>
      </w:pPr>
      <w:rPr>
        <w:rFonts w:ascii="Times New Roman" w:hAnsi="Times New Roman" w:hint="default"/>
      </w:rPr>
    </w:lvl>
    <w:lvl w:ilvl="3" w:tplc="EE78F9B0" w:tentative="1">
      <w:start w:val="1"/>
      <w:numFmt w:val="bullet"/>
      <w:lvlText w:val="–"/>
      <w:lvlJc w:val="left"/>
      <w:pPr>
        <w:tabs>
          <w:tab w:val="num" w:pos="2520"/>
        </w:tabs>
        <w:ind w:left="2520" w:hanging="360"/>
      </w:pPr>
      <w:rPr>
        <w:rFonts w:ascii="Times New Roman" w:hAnsi="Times New Roman" w:hint="default"/>
      </w:rPr>
    </w:lvl>
    <w:lvl w:ilvl="4" w:tplc="67A6A49C" w:tentative="1">
      <w:start w:val="1"/>
      <w:numFmt w:val="bullet"/>
      <w:lvlText w:val="–"/>
      <w:lvlJc w:val="left"/>
      <w:pPr>
        <w:tabs>
          <w:tab w:val="num" w:pos="3240"/>
        </w:tabs>
        <w:ind w:left="3240" w:hanging="360"/>
      </w:pPr>
      <w:rPr>
        <w:rFonts w:ascii="Times New Roman" w:hAnsi="Times New Roman" w:hint="default"/>
      </w:rPr>
    </w:lvl>
    <w:lvl w:ilvl="5" w:tplc="A742FCE4" w:tentative="1">
      <w:start w:val="1"/>
      <w:numFmt w:val="bullet"/>
      <w:lvlText w:val="–"/>
      <w:lvlJc w:val="left"/>
      <w:pPr>
        <w:tabs>
          <w:tab w:val="num" w:pos="3960"/>
        </w:tabs>
        <w:ind w:left="3960" w:hanging="360"/>
      </w:pPr>
      <w:rPr>
        <w:rFonts w:ascii="Times New Roman" w:hAnsi="Times New Roman" w:hint="default"/>
      </w:rPr>
    </w:lvl>
    <w:lvl w:ilvl="6" w:tplc="4ABEDD36" w:tentative="1">
      <w:start w:val="1"/>
      <w:numFmt w:val="bullet"/>
      <w:lvlText w:val="–"/>
      <w:lvlJc w:val="left"/>
      <w:pPr>
        <w:tabs>
          <w:tab w:val="num" w:pos="4680"/>
        </w:tabs>
        <w:ind w:left="4680" w:hanging="360"/>
      </w:pPr>
      <w:rPr>
        <w:rFonts w:ascii="Times New Roman" w:hAnsi="Times New Roman" w:hint="default"/>
      </w:rPr>
    </w:lvl>
    <w:lvl w:ilvl="7" w:tplc="1EE47384" w:tentative="1">
      <w:start w:val="1"/>
      <w:numFmt w:val="bullet"/>
      <w:lvlText w:val="–"/>
      <w:lvlJc w:val="left"/>
      <w:pPr>
        <w:tabs>
          <w:tab w:val="num" w:pos="5400"/>
        </w:tabs>
        <w:ind w:left="5400" w:hanging="360"/>
      </w:pPr>
      <w:rPr>
        <w:rFonts w:ascii="Times New Roman" w:hAnsi="Times New Roman" w:hint="default"/>
      </w:rPr>
    </w:lvl>
    <w:lvl w:ilvl="8" w:tplc="F5ECF55C"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497017C9"/>
    <w:multiLevelType w:val="hybridMultilevel"/>
    <w:tmpl w:val="6BC24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050248"/>
    <w:multiLevelType w:val="hybridMultilevel"/>
    <w:tmpl w:val="42148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F0"/>
    <w:rsid w:val="00000033"/>
    <w:rsid w:val="00015C38"/>
    <w:rsid w:val="00034A61"/>
    <w:rsid w:val="000428D1"/>
    <w:rsid w:val="00043496"/>
    <w:rsid w:val="00044D08"/>
    <w:rsid w:val="00082636"/>
    <w:rsid w:val="000A0353"/>
    <w:rsid w:val="000A33B4"/>
    <w:rsid w:val="000C728C"/>
    <w:rsid w:val="000C74BC"/>
    <w:rsid w:val="000E732E"/>
    <w:rsid w:val="00102362"/>
    <w:rsid w:val="00117BC5"/>
    <w:rsid w:val="001226BB"/>
    <w:rsid w:val="00125053"/>
    <w:rsid w:val="00134DD5"/>
    <w:rsid w:val="00155E96"/>
    <w:rsid w:val="00163865"/>
    <w:rsid w:val="00166262"/>
    <w:rsid w:val="001714DD"/>
    <w:rsid w:val="00173FDC"/>
    <w:rsid w:val="00180089"/>
    <w:rsid w:val="0018403F"/>
    <w:rsid w:val="00187359"/>
    <w:rsid w:val="00194E0C"/>
    <w:rsid w:val="00196639"/>
    <w:rsid w:val="001A1E87"/>
    <w:rsid w:val="001D75C7"/>
    <w:rsid w:val="001F2392"/>
    <w:rsid w:val="001F592A"/>
    <w:rsid w:val="00200C4E"/>
    <w:rsid w:val="00220501"/>
    <w:rsid w:val="0022391B"/>
    <w:rsid w:val="00226711"/>
    <w:rsid w:val="002304A7"/>
    <w:rsid w:val="00247A6E"/>
    <w:rsid w:val="00251F92"/>
    <w:rsid w:val="002556CD"/>
    <w:rsid w:val="0028120B"/>
    <w:rsid w:val="0028334C"/>
    <w:rsid w:val="00284753"/>
    <w:rsid w:val="002959DB"/>
    <w:rsid w:val="002A2FD6"/>
    <w:rsid w:val="002A4A86"/>
    <w:rsid w:val="002B1892"/>
    <w:rsid w:val="002B5CA0"/>
    <w:rsid w:val="002D6F52"/>
    <w:rsid w:val="00321303"/>
    <w:rsid w:val="00323205"/>
    <w:rsid w:val="00332DC9"/>
    <w:rsid w:val="00334957"/>
    <w:rsid w:val="003467CE"/>
    <w:rsid w:val="00363BA1"/>
    <w:rsid w:val="00365635"/>
    <w:rsid w:val="00383E8C"/>
    <w:rsid w:val="00386C8A"/>
    <w:rsid w:val="00387E58"/>
    <w:rsid w:val="00394B8B"/>
    <w:rsid w:val="003C14C8"/>
    <w:rsid w:val="003D2283"/>
    <w:rsid w:val="003D60F2"/>
    <w:rsid w:val="003E0C53"/>
    <w:rsid w:val="003E193A"/>
    <w:rsid w:val="003F1510"/>
    <w:rsid w:val="003F5D66"/>
    <w:rsid w:val="00410A96"/>
    <w:rsid w:val="00421698"/>
    <w:rsid w:val="004264FC"/>
    <w:rsid w:val="0042778E"/>
    <w:rsid w:val="00431980"/>
    <w:rsid w:val="0043251C"/>
    <w:rsid w:val="00465391"/>
    <w:rsid w:val="00465AD8"/>
    <w:rsid w:val="00467132"/>
    <w:rsid w:val="004704F8"/>
    <w:rsid w:val="0047358D"/>
    <w:rsid w:val="00473C16"/>
    <w:rsid w:val="004822B8"/>
    <w:rsid w:val="004878C3"/>
    <w:rsid w:val="00491307"/>
    <w:rsid w:val="004A3683"/>
    <w:rsid w:val="004E2370"/>
    <w:rsid w:val="004E258D"/>
    <w:rsid w:val="004F76BD"/>
    <w:rsid w:val="00503362"/>
    <w:rsid w:val="00507E60"/>
    <w:rsid w:val="00556564"/>
    <w:rsid w:val="00557445"/>
    <w:rsid w:val="005746A1"/>
    <w:rsid w:val="00584B3D"/>
    <w:rsid w:val="005874C4"/>
    <w:rsid w:val="005914C8"/>
    <w:rsid w:val="005A25B9"/>
    <w:rsid w:val="005A578C"/>
    <w:rsid w:val="005B5883"/>
    <w:rsid w:val="005F03D4"/>
    <w:rsid w:val="005F0CAF"/>
    <w:rsid w:val="00605D02"/>
    <w:rsid w:val="006102A1"/>
    <w:rsid w:val="006111D7"/>
    <w:rsid w:val="006158D5"/>
    <w:rsid w:val="0061598A"/>
    <w:rsid w:val="0061672A"/>
    <w:rsid w:val="006216C8"/>
    <w:rsid w:val="0062501D"/>
    <w:rsid w:val="0064121C"/>
    <w:rsid w:val="00644287"/>
    <w:rsid w:val="00647F63"/>
    <w:rsid w:val="006522CA"/>
    <w:rsid w:val="00653A72"/>
    <w:rsid w:val="0066279A"/>
    <w:rsid w:val="006645A9"/>
    <w:rsid w:val="006703CC"/>
    <w:rsid w:val="006724E5"/>
    <w:rsid w:val="00674380"/>
    <w:rsid w:val="006806CA"/>
    <w:rsid w:val="00684B9D"/>
    <w:rsid w:val="006926AA"/>
    <w:rsid w:val="006A21E1"/>
    <w:rsid w:val="006A2CF7"/>
    <w:rsid w:val="006A62DA"/>
    <w:rsid w:val="006B348E"/>
    <w:rsid w:val="006C45D6"/>
    <w:rsid w:val="006E11B2"/>
    <w:rsid w:val="006E6A68"/>
    <w:rsid w:val="0070139B"/>
    <w:rsid w:val="00701ADC"/>
    <w:rsid w:val="00705B97"/>
    <w:rsid w:val="007342D0"/>
    <w:rsid w:val="00735B29"/>
    <w:rsid w:val="00741B59"/>
    <w:rsid w:val="007423B0"/>
    <w:rsid w:val="007426F0"/>
    <w:rsid w:val="00757ED4"/>
    <w:rsid w:val="007606A4"/>
    <w:rsid w:val="00781D64"/>
    <w:rsid w:val="0079148B"/>
    <w:rsid w:val="007B4D65"/>
    <w:rsid w:val="007B6592"/>
    <w:rsid w:val="007C43B7"/>
    <w:rsid w:val="007D1E19"/>
    <w:rsid w:val="008015DB"/>
    <w:rsid w:val="0080299F"/>
    <w:rsid w:val="00803BC1"/>
    <w:rsid w:val="00807D94"/>
    <w:rsid w:val="008161B5"/>
    <w:rsid w:val="0082036C"/>
    <w:rsid w:val="0082697A"/>
    <w:rsid w:val="0083283F"/>
    <w:rsid w:val="00832B86"/>
    <w:rsid w:val="00847CF5"/>
    <w:rsid w:val="00873704"/>
    <w:rsid w:val="00881028"/>
    <w:rsid w:val="0089144A"/>
    <w:rsid w:val="00895BD8"/>
    <w:rsid w:val="008B3C9B"/>
    <w:rsid w:val="008B6254"/>
    <w:rsid w:val="008D5B89"/>
    <w:rsid w:val="009112EF"/>
    <w:rsid w:val="0091191C"/>
    <w:rsid w:val="009469F0"/>
    <w:rsid w:val="0095222D"/>
    <w:rsid w:val="0096057D"/>
    <w:rsid w:val="00961A60"/>
    <w:rsid w:val="00965ACF"/>
    <w:rsid w:val="00976D73"/>
    <w:rsid w:val="009942E0"/>
    <w:rsid w:val="009A0B3C"/>
    <w:rsid w:val="009B4404"/>
    <w:rsid w:val="009B4951"/>
    <w:rsid w:val="009B6F6C"/>
    <w:rsid w:val="009C4588"/>
    <w:rsid w:val="009D0B0E"/>
    <w:rsid w:val="009E49FD"/>
    <w:rsid w:val="009E7EED"/>
    <w:rsid w:val="009F04AA"/>
    <w:rsid w:val="00A01F9A"/>
    <w:rsid w:val="00A058AE"/>
    <w:rsid w:val="00A22FC2"/>
    <w:rsid w:val="00A344C8"/>
    <w:rsid w:val="00A55D9A"/>
    <w:rsid w:val="00A57990"/>
    <w:rsid w:val="00A60825"/>
    <w:rsid w:val="00A60B73"/>
    <w:rsid w:val="00A74FCD"/>
    <w:rsid w:val="00A7514E"/>
    <w:rsid w:val="00A837B3"/>
    <w:rsid w:val="00A8675C"/>
    <w:rsid w:val="00A911BE"/>
    <w:rsid w:val="00A94644"/>
    <w:rsid w:val="00AC1710"/>
    <w:rsid w:val="00AD29BD"/>
    <w:rsid w:val="00AE406B"/>
    <w:rsid w:val="00AF7D6C"/>
    <w:rsid w:val="00B05326"/>
    <w:rsid w:val="00B21BDF"/>
    <w:rsid w:val="00B24C17"/>
    <w:rsid w:val="00B366AA"/>
    <w:rsid w:val="00B41FF3"/>
    <w:rsid w:val="00B516D5"/>
    <w:rsid w:val="00B63E27"/>
    <w:rsid w:val="00B65336"/>
    <w:rsid w:val="00B65478"/>
    <w:rsid w:val="00B750CC"/>
    <w:rsid w:val="00B81656"/>
    <w:rsid w:val="00B84176"/>
    <w:rsid w:val="00BA5AB9"/>
    <w:rsid w:val="00BB7123"/>
    <w:rsid w:val="00BC79D2"/>
    <w:rsid w:val="00BD46F5"/>
    <w:rsid w:val="00BD616E"/>
    <w:rsid w:val="00BE3A3C"/>
    <w:rsid w:val="00BE48E1"/>
    <w:rsid w:val="00C067A4"/>
    <w:rsid w:val="00C13840"/>
    <w:rsid w:val="00C152B4"/>
    <w:rsid w:val="00C25E6E"/>
    <w:rsid w:val="00C316EE"/>
    <w:rsid w:val="00C41B95"/>
    <w:rsid w:val="00C51153"/>
    <w:rsid w:val="00C624CD"/>
    <w:rsid w:val="00C62CC1"/>
    <w:rsid w:val="00C65DDA"/>
    <w:rsid w:val="00C7297A"/>
    <w:rsid w:val="00C7303D"/>
    <w:rsid w:val="00C7304D"/>
    <w:rsid w:val="00C74B60"/>
    <w:rsid w:val="00C95304"/>
    <w:rsid w:val="00CA7010"/>
    <w:rsid w:val="00CA7DC6"/>
    <w:rsid w:val="00CB65C2"/>
    <w:rsid w:val="00CE3F6F"/>
    <w:rsid w:val="00CE46C5"/>
    <w:rsid w:val="00CF1BAA"/>
    <w:rsid w:val="00CF42F7"/>
    <w:rsid w:val="00D00E3D"/>
    <w:rsid w:val="00D104F1"/>
    <w:rsid w:val="00D20D19"/>
    <w:rsid w:val="00D2167B"/>
    <w:rsid w:val="00D23261"/>
    <w:rsid w:val="00D23B66"/>
    <w:rsid w:val="00D23EE5"/>
    <w:rsid w:val="00D26253"/>
    <w:rsid w:val="00D2749F"/>
    <w:rsid w:val="00D30FCD"/>
    <w:rsid w:val="00D31FCC"/>
    <w:rsid w:val="00D4650E"/>
    <w:rsid w:val="00D512DB"/>
    <w:rsid w:val="00DB21FB"/>
    <w:rsid w:val="00DB4120"/>
    <w:rsid w:val="00DB48CB"/>
    <w:rsid w:val="00DB6060"/>
    <w:rsid w:val="00DC298F"/>
    <w:rsid w:val="00DD027C"/>
    <w:rsid w:val="00DD3064"/>
    <w:rsid w:val="00DD45B1"/>
    <w:rsid w:val="00DE191C"/>
    <w:rsid w:val="00DF3885"/>
    <w:rsid w:val="00DF7C0C"/>
    <w:rsid w:val="00E05F06"/>
    <w:rsid w:val="00E126C4"/>
    <w:rsid w:val="00E14A62"/>
    <w:rsid w:val="00E1563B"/>
    <w:rsid w:val="00E164CB"/>
    <w:rsid w:val="00E23865"/>
    <w:rsid w:val="00E42E1E"/>
    <w:rsid w:val="00E42E5A"/>
    <w:rsid w:val="00E664F9"/>
    <w:rsid w:val="00E70BC5"/>
    <w:rsid w:val="00E717C7"/>
    <w:rsid w:val="00E740F9"/>
    <w:rsid w:val="00E819ED"/>
    <w:rsid w:val="00E90336"/>
    <w:rsid w:val="00E93FB3"/>
    <w:rsid w:val="00EA3A5C"/>
    <w:rsid w:val="00EA79BD"/>
    <w:rsid w:val="00ED544B"/>
    <w:rsid w:val="00EF0A3A"/>
    <w:rsid w:val="00EF7733"/>
    <w:rsid w:val="00F02F54"/>
    <w:rsid w:val="00F05257"/>
    <w:rsid w:val="00F068FB"/>
    <w:rsid w:val="00F14C7A"/>
    <w:rsid w:val="00F563BA"/>
    <w:rsid w:val="00F56E35"/>
    <w:rsid w:val="00F635C9"/>
    <w:rsid w:val="00F6713E"/>
    <w:rsid w:val="00F775C8"/>
    <w:rsid w:val="00F81BB7"/>
    <w:rsid w:val="00F846F1"/>
    <w:rsid w:val="00F9581B"/>
    <w:rsid w:val="00F959C5"/>
    <w:rsid w:val="00FA19BD"/>
    <w:rsid w:val="00FA3CB4"/>
    <w:rsid w:val="00FB0B23"/>
    <w:rsid w:val="00FB317B"/>
    <w:rsid w:val="00FB70DC"/>
    <w:rsid w:val="00FC0145"/>
    <w:rsid w:val="00FC65EE"/>
    <w:rsid w:val="00FD1759"/>
    <w:rsid w:val="00FF5B74"/>
    <w:rsid w:val="00FF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E463A"/>
  <w14:defaultImageDpi w14:val="300"/>
  <w15:docId w15:val="{28BFACB3-64E9-45BF-9463-F9FB2778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79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E0C"/>
    <w:rPr>
      <w:rFonts w:ascii="Lucida Grande" w:hAnsi="Lucida Grande"/>
      <w:sz w:val="18"/>
      <w:szCs w:val="18"/>
    </w:rPr>
  </w:style>
  <w:style w:type="character" w:customStyle="1" w:styleId="BalloonTextChar">
    <w:name w:val="Balloon Text Char"/>
    <w:basedOn w:val="DefaultParagraphFont"/>
    <w:link w:val="BalloonText"/>
    <w:uiPriority w:val="99"/>
    <w:semiHidden/>
    <w:rsid w:val="00194E0C"/>
    <w:rPr>
      <w:rFonts w:ascii="Lucida Grande" w:hAnsi="Lucida Grande"/>
      <w:sz w:val="18"/>
      <w:szCs w:val="18"/>
    </w:rPr>
  </w:style>
  <w:style w:type="paragraph" w:styleId="Footer">
    <w:name w:val="footer"/>
    <w:basedOn w:val="Normal"/>
    <w:link w:val="FooterChar"/>
    <w:uiPriority w:val="99"/>
    <w:unhideWhenUsed/>
    <w:rsid w:val="000E732E"/>
    <w:pPr>
      <w:tabs>
        <w:tab w:val="center" w:pos="4320"/>
        <w:tab w:val="right" w:pos="8640"/>
      </w:tabs>
    </w:pPr>
  </w:style>
  <w:style w:type="character" w:customStyle="1" w:styleId="FooterChar">
    <w:name w:val="Footer Char"/>
    <w:basedOn w:val="DefaultParagraphFont"/>
    <w:link w:val="Footer"/>
    <w:uiPriority w:val="99"/>
    <w:rsid w:val="000E732E"/>
  </w:style>
  <w:style w:type="character" w:styleId="PageNumber">
    <w:name w:val="page number"/>
    <w:basedOn w:val="DefaultParagraphFont"/>
    <w:uiPriority w:val="99"/>
    <w:semiHidden/>
    <w:unhideWhenUsed/>
    <w:rsid w:val="000E732E"/>
  </w:style>
  <w:style w:type="table" w:styleId="TableGrid">
    <w:name w:val="Table Grid"/>
    <w:basedOn w:val="TableNormal"/>
    <w:uiPriority w:val="59"/>
    <w:rsid w:val="00FA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370"/>
    <w:pPr>
      <w:ind w:left="720"/>
      <w:contextualSpacing/>
    </w:pPr>
  </w:style>
  <w:style w:type="paragraph" w:styleId="NormalWeb">
    <w:name w:val="Normal (Web)"/>
    <w:basedOn w:val="Normal"/>
    <w:uiPriority w:val="99"/>
    <w:semiHidden/>
    <w:unhideWhenUsed/>
    <w:rsid w:val="006703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942E0"/>
    <w:rPr>
      <w:color w:val="0000FF" w:themeColor="hyperlink"/>
      <w:u w:val="single"/>
    </w:rPr>
  </w:style>
  <w:style w:type="character" w:styleId="CommentReference">
    <w:name w:val="annotation reference"/>
    <w:basedOn w:val="DefaultParagraphFont"/>
    <w:uiPriority w:val="99"/>
    <w:semiHidden/>
    <w:unhideWhenUsed/>
    <w:rsid w:val="00C624CD"/>
    <w:rPr>
      <w:sz w:val="16"/>
      <w:szCs w:val="16"/>
    </w:rPr>
  </w:style>
  <w:style w:type="paragraph" w:styleId="CommentText">
    <w:name w:val="annotation text"/>
    <w:basedOn w:val="Normal"/>
    <w:link w:val="CommentTextChar"/>
    <w:uiPriority w:val="99"/>
    <w:semiHidden/>
    <w:unhideWhenUsed/>
    <w:rsid w:val="00C624CD"/>
    <w:rPr>
      <w:sz w:val="20"/>
      <w:szCs w:val="20"/>
    </w:rPr>
  </w:style>
  <w:style w:type="character" w:customStyle="1" w:styleId="CommentTextChar">
    <w:name w:val="Comment Text Char"/>
    <w:basedOn w:val="DefaultParagraphFont"/>
    <w:link w:val="CommentText"/>
    <w:uiPriority w:val="99"/>
    <w:semiHidden/>
    <w:rsid w:val="00C624CD"/>
    <w:rPr>
      <w:sz w:val="20"/>
      <w:szCs w:val="20"/>
    </w:rPr>
  </w:style>
  <w:style w:type="paragraph" w:styleId="CommentSubject">
    <w:name w:val="annotation subject"/>
    <w:basedOn w:val="CommentText"/>
    <w:next w:val="CommentText"/>
    <w:link w:val="CommentSubjectChar"/>
    <w:uiPriority w:val="99"/>
    <w:semiHidden/>
    <w:unhideWhenUsed/>
    <w:rsid w:val="00C624CD"/>
    <w:rPr>
      <w:b/>
      <w:bCs/>
    </w:rPr>
  </w:style>
  <w:style w:type="character" w:customStyle="1" w:styleId="CommentSubjectChar">
    <w:name w:val="Comment Subject Char"/>
    <w:basedOn w:val="CommentTextChar"/>
    <w:link w:val="CommentSubject"/>
    <w:uiPriority w:val="99"/>
    <w:semiHidden/>
    <w:rsid w:val="00C624CD"/>
    <w:rPr>
      <w:b/>
      <w:bCs/>
      <w:sz w:val="20"/>
      <w:szCs w:val="20"/>
    </w:rPr>
  </w:style>
  <w:style w:type="character" w:customStyle="1" w:styleId="UnresolvedMention1">
    <w:name w:val="Unresolved Mention1"/>
    <w:basedOn w:val="DefaultParagraphFont"/>
    <w:uiPriority w:val="99"/>
    <w:semiHidden/>
    <w:unhideWhenUsed/>
    <w:rsid w:val="00A57990"/>
    <w:rPr>
      <w:color w:val="808080"/>
      <w:shd w:val="clear" w:color="auto" w:fill="E6E6E6"/>
    </w:rPr>
  </w:style>
  <w:style w:type="character" w:customStyle="1" w:styleId="Heading2Char">
    <w:name w:val="Heading 2 Char"/>
    <w:basedOn w:val="DefaultParagraphFont"/>
    <w:link w:val="Heading2"/>
    <w:uiPriority w:val="9"/>
    <w:semiHidden/>
    <w:rsid w:val="00A57990"/>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C14C8"/>
    <w:pPr>
      <w:tabs>
        <w:tab w:val="center" w:pos="4680"/>
        <w:tab w:val="right" w:pos="9360"/>
      </w:tabs>
    </w:pPr>
  </w:style>
  <w:style w:type="character" w:customStyle="1" w:styleId="HeaderChar">
    <w:name w:val="Header Char"/>
    <w:basedOn w:val="DefaultParagraphFont"/>
    <w:link w:val="Header"/>
    <w:uiPriority w:val="99"/>
    <w:rsid w:val="003C14C8"/>
  </w:style>
  <w:style w:type="character" w:styleId="FollowedHyperlink">
    <w:name w:val="FollowedHyperlink"/>
    <w:basedOn w:val="DefaultParagraphFont"/>
    <w:uiPriority w:val="99"/>
    <w:semiHidden/>
    <w:unhideWhenUsed/>
    <w:rsid w:val="00B841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624">
      <w:bodyDiv w:val="1"/>
      <w:marLeft w:val="0"/>
      <w:marRight w:val="0"/>
      <w:marTop w:val="0"/>
      <w:marBottom w:val="0"/>
      <w:divBdr>
        <w:top w:val="none" w:sz="0" w:space="0" w:color="auto"/>
        <w:left w:val="none" w:sz="0" w:space="0" w:color="auto"/>
        <w:bottom w:val="none" w:sz="0" w:space="0" w:color="auto"/>
        <w:right w:val="none" w:sz="0" w:space="0" w:color="auto"/>
      </w:divBdr>
    </w:div>
    <w:div w:id="79572364">
      <w:bodyDiv w:val="1"/>
      <w:marLeft w:val="0"/>
      <w:marRight w:val="0"/>
      <w:marTop w:val="0"/>
      <w:marBottom w:val="0"/>
      <w:divBdr>
        <w:top w:val="none" w:sz="0" w:space="0" w:color="auto"/>
        <w:left w:val="none" w:sz="0" w:space="0" w:color="auto"/>
        <w:bottom w:val="none" w:sz="0" w:space="0" w:color="auto"/>
        <w:right w:val="none" w:sz="0" w:space="0" w:color="auto"/>
      </w:divBdr>
    </w:div>
    <w:div w:id="131483563">
      <w:bodyDiv w:val="1"/>
      <w:marLeft w:val="0"/>
      <w:marRight w:val="0"/>
      <w:marTop w:val="0"/>
      <w:marBottom w:val="0"/>
      <w:divBdr>
        <w:top w:val="none" w:sz="0" w:space="0" w:color="auto"/>
        <w:left w:val="none" w:sz="0" w:space="0" w:color="auto"/>
        <w:bottom w:val="none" w:sz="0" w:space="0" w:color="auto"/>
        <w:right w:val="none" w:sz="0" w:space="0" w:color="auto"/>
      </w:divBdr>
      <w:divsChild>
        <w:div w:id="88475151">
          <w:marLeft w:val="1166"/>
          <w:marRight w:val="0"/>
          <w:marTop w:val="67"/>
          <w:marBottom w:val="0"/>
          <w:divBdr>
            <w:top w:val="none" w:sz="0" w:space="0" w:color="auto"/>
            <w:left w:val="none" w:sz="0" w:space="0" w:color="auto"/>
            <w:bottom w:val="none" w:sz="0" w:space="0" w:color="auto"/>
            <w:right w:val="none" w:sz="0" w:space="0" w:color="auto"/>
          </w:divBdr>
        </w:div>
        <w:div w:id="863981737">
          <w:marLeft w:val="1166"/>
          <w:marRight w:val="0"/>
          <w:marTop w:val="67"/>
          <w:marBottom w:val="0"/>
          <w:divBdr>
            <w:top w:val="none" w:sz="0" w:space="0" w:color="auto"/>
            <w:left w:val="none" w:sz="0" w:space="0" w:color="auto"/>
            <w:bottom w:val="none" w:sz="0" w:space="0" w:color="auto"/>
            <w:right w:val="none" w:sz="0" w:space="0" w:color="auto"/>
          </w:divBdr>
        </w:div>
        <w:div w:id="104886848">
          <w:marLeft w:val="1166"/>
          <w:marRight w:val="0"/>
          <w:marTop w:val="67"/>
          <w:marBottom w:val="0"/>
          <w:divBdr>
            <w:top w:val="none" w:sz="0" w:space="0" w:color="auto"/>
            <w:left w:val="none" w:sz="0" w:space="0" w:color="auto"/>
            <w:bottom w:val="none" w:sz="0" w:space="0" w:color="auto"/>
            <w:right w:val="none" w:sz="0" w:space="0" w:color="auto"/>
          </w:divBdr>
        </w:div>
        <w:div w:id="188494429">
          <w:marLeft w:val="1166"/>
          <w:marRight w:val="0"/>
          <w:marTop w:val="67"/>
          <w:marBottom w:val="0"/>
          <w:divBdr>
            <w:top w:val="none" w:sz="0" w:space="0" w:color="auto"/>
            <w:left w:val="none" w:sz="0" w:space="0" w:color="auto"/>
            <w:bottom w:val="none" w:sz="0" w:space="0" w:color="auto"/>
            <w:right w:val="none" w:sz="0" w:space="0" w:color="auto"/>
          </w:divBdr>
        </w:div>
        <w:div w:id="1001395622">
          <w:marLeft w:val="1166"/>
          <w:marRight w:val="0"/>
          <w:marTop w:val="67"/>
          <w:marBottom w:val="0"/>
          <w:divBdr>
            <w:top w:val="none" w:sz="0" w:space="0" w:color="auto"/>
            <w:left w:val="none" w:sz="0" w:space="0" w:color="auto"/>
            <w:bottom w:val="none" w:sz="0" w:space="0" w:color="auto"/>
            <w:right w:val="none" w:sz="0" w:space="0" w:color="auto"/>
          </w:divBdr>
        </w:div>
        <w:div w:id="999381849">
          <w:marLeft w:val="1166"/>
          <w:marRight w:val="0"/>
          <w:marTop w:val="67"/>
          <w:marBottom w:val="0"/>
          <w:divBdr>
            <w:top w:val="none" w:sz="0" w:space="0" w:color="auto"/>
            <w:left w:val="none" w:sz="0" w:space="0" w:color="auto"/>
            <w:bottom w:val="none" w:sz="0" w:space="0" w:color="auto"/>
            <w:right w:val="none" w:sz="0" w:space="0" w:color="auto"/>
          </w:divBdr>
        </w:div>
        <w:div w:id="433865352">
          <w:marLeft w:val="1166"/>
          <w:marRight w:val="0"/>
          <w:marTop w:val="67"/>
          <w:marBottom w:val="0"/>
          <w:divBdr>
            <w:top w:val="none" w:sz="0" w:space="0" w:color="auto"/>
            <w:left w:val="none" w:sz="0" w:space="0" w:color="auto"/>
            <w:bottom w:val="none" w:sz="0" w:space="0" w:color="auto"/>
            <w:right w:val="none" w:sz="0" w:space="0" w:color="auto"/>
          </w:divBdr>
        </w:div>
      </w:divsChild>
    </w:div>
    <w:div w:id="228269794">
      <w:bodyDiv w:val="1"/>
      <w:marLeft w:val="0"/>
      <w:marRight w:val="0"/>
      <w:marTop w:val="0"/>
      <w:marBottom w:val="0"/>
      <w:divBdr>
        <w:top w:val="none" w:sz="0" w:space="0" w:color="auto"/>
        <w:left w:val="none" w:sz="0" w:space="0" w:color="auto"/>
        <w:bottom w:val="none" w:sz="0" w:space="0" w:color="auto"/>
        <w:right w:val="none" w:sz="0" w:space="0" w:color="auto"/>
      </w:divBdr>
    </w:div>
    <w:div w:id="380861653">
      <w:bodyDiv w:val="1"/>
      <w:marLeft w:val="0"/>
      <w:marRight w:val="0"/>
      <w:marTop w:val="0"/>
      <w:marBottom w:val="0"/>
      <w:divBdr>
        <w:top w:val="none" w:sz="0" w:space="0" w:color="auto"/>
        <w:left w:val="none" w:sz="0" w:space="0" w:color="auto"/>
        <w:bottom w:val="none" w:sz="0" w:space="0" w:color="auto"/>
        <w:right w:val="none" w:sz="0" w:space="0" w:color="auto"/>
      </w:divBdr>
    </w:div>
    <w:div w:id="941299651">
      <w:bodyDiv w:val="1"/>
      <w:marLeft w:val="0"/>
      <w:marRight w:val="0"/>
      <w:marTop w:val="0"/>
      <w:marBottom w:val="0"/>
      <w:divBdr>
        <w:top w:val="none" w:sz="0" w:space="0" w:color="auto"/>
        <w:left w:val="none" w:sz="0" w:space="0" w:color="auto"/>
        <w:bottom w:val="none" w:sz="0" w:space="0" w:color="auto"/>
        <w:right w:val="none" w:sz="0" w:space="0" w:color="auto"/>
      </w:divBdr>
      <w:divsChild>
        <w:div w:id="431434304">
          <w:marLeft w:val="0"/>
          <w:marRight w:val="0"/>
          <w:marTop w:val="0"/>
          <w:marBottom w:val="0"/>
          <w:divBdr>
            <w:top w:val="none" w:sz="0" w:space="0" w:color="auto"/>
            <w:left w:val="none" w:sz="0" w:space="0" w:color="auto"/>
            <w:bottom w:val="none" w:sz="0" w:space="0" w:color="auto"/>
            <w:right w:val="none" w:sz="0" w:space="0" w:color="auto"/>
          </w:divBdr>
          <w:divsChild>
            <w:div w:id="511380918">
              <w:marLeft w:val="0"/>
              <w:marRight w:val="0"/>
              <w:marTop w:val="0"/>
              <w:marBottom w:val="0"/>
              <w:divBdr>
                <w:top w:val="none" w:sz="0" w:space="0" w:color="auto"/>
                <w:left w:val="none" w:sz="0" w:space="0" w:color="auto"/>
                <w:bottom w:val="none" w:sz="0" w:space="0" w:color="auto"/>
                <w:right w:val="none" w:sz="0" w:space="0" w:color="auto"/>
              </w:divBdr>
            </w:div>
            <w:div w:id="292911726">
              <w:marLeft w:val="0"/>
              <w:marRight w:val="0"/>
              <w:marTop w:val="0"/>
              <w:marBottom w:val="0"/>
              <w:divBdr>
                <w:top w:val="none" w:sz="0" w:space="0" w:color="auto"/>
                <w:left w:val="none" w:sz="0" w:space="0" w:color="auto"/>
                <w:bottom w:val="none" w:sz="0" w:space="0" w:color="auto"/>
                <w:right w:val="none" w:sz="0" w:space="0" w:color="auto"/>
              </w:divBdr>
            </w:div>
            <w:div w:id="1889417894">
              <w:marLeft w:val="0"/>
              <w:marRight w:val="0"/>
              <w:marTop w:val="0"/>
              <w:marBottom w:val="0"/>
              <w:divBdr>
                <w:top w:val="none" w:sz="0" w:space="0" w:color="auto"/>
                <w:left w:val="none" w:sz="0" w:space="0" w:color="auto"/>
                <w:bottom w:val="none" w:sz="0" w:space="0" w:color="auto"/>
                <w:right w:val="none" w:sz="0" w:space="0" w:color="auto"/>
              </w:divBdr>
            </w:div>
            <w:div w:id="463423617">
              <w:marLeft w:val="0"/>
              <w:marRight w:val="0"/>
              <w:marTop w:val="0"/>
              <w:marBottom w:val="0"/>
              <w:divBdr>
                <w:top w:val="none" w:sz="0" w:space="0" w:color="auto"/>
                <w:left w:val="none" w:sz="0" w:space="0" w:color="auto"/>
                <w:bottom w:val="none" w:sz="0" w:space="0" w:color="auto"/>
                <w:right w:val="none" w:sz="0" w:space="0" w:color="auto"/>
              </w:divBdr>
            </w:div>
          </w:divsChild>
        </w:div>
        <w:div w:id="181867800">
          <w:marLeft w:val="0"/>
          <w:marRight w:val="0"/>
          <w:marTop w:val="0"/>
          <w:marBottom w:val="0"/>
          <w:divBdr>
            <w:top w:val="none" w:sz="0" w:space="0" w:color="auto"/>
            <w:left w:val="none" w:sz="0" w:space="0" w:color="auto"/>
            <w:bottom w:val="none" w:sz="0" w:space="0" w:color="auto"/>
            <w:right w:val="none" w:sz="0" w:space="0" w:color="auto"/>
          </w:divBdr>
          <w:divsChild>
            <w:div w:id="534126474">
              <w:marLeft w:val="0"/>
              <w:marRight w:val="0"/>
              <w:marTop w:val="0"/>
              <w:marBottom w:val="0"/>
              <w:divBdr>
                <w:top w:val="none" w:sz="0" w:space="0" w:color="auto"/>
                <w:left w:val="none" w:sz="0" w:space="0" w:color="auto"/>
                <w:bottom w:val="none" w:sz="0" w:space="0" w:color="auto"/>
                <w:right w:val="none" w:sz="0" w:space="0" w:color="auto"/>
              </w:divBdr>
              <w:divsChild>
                <w:div w:id="1201092342">
                  <w:marLeft w:val="0"/>
                  <w:marRight w:val="0"/>
                  <w:marTop w:val="0"/>
                  <w:marBottom w:val="0"/>
                  <w:divBdr>
                    <w:top w:val="none" w:sz="0" w:space="0" w:color="auto"/>
                    <w:left w:val="none" w:sz="0" w:space="0" w:color="auto"/>
                    <w:bottom w:val="none" w:sz="0" w:space="0" w:color="auto"/>
                    <w:right w:val="none" w:sz="0" w:space="0" w:color="auto"/>
                  </w:divBdr>
                  <w:divsChild>
                    <w:div w:id="6300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4036">
          <w:marLeft w:val="0"/>
          <w:marRight w:val="0"/>
          <w:marTop w:val="0"/>
          <w:marBottom w:val="0"/>
          <w:divBdr>
            <w:top w:val="none" w:sz="0" w:space="0" w:color="auto"/>
            <w:left w:val="none" w:sz="0" w:space="0" w:color="auto"/>
            <w:bottom w:val="none" w:sz="0" w:space="0" w:color="auto"/>
            <w:right w:val="none" w:sz="0" w:space="0" w:color="auto"/>
          </w:divBdr>
        </w:div>
      </w:divsChild>
    </w:div>
    <w:div w:id="1262031605">
      <w:bodyDiv w:val="1"/>
      <w:marLeft w:val="0"/>
      <w:marRight w:val="0"/>
      <w:marTop w:val="0"/>
      <w:marBottom w:val="0"/>
      <w:divBdr>
        <w:top w:val="none" w:sz="0" w:space="0" w:color="auto"/>
        <w:left w:val="none" w:sz="0" w:space="0" w:color="auto"/>
        <w:bottom w:val="none" w:sz="0" w:space="0" w:color="auto"/>
        <w:right w:val="none" w:sz="0" w:space="0" w:color="auto"/>
      </w:divBdr>
    </w:div>
    <w:div w:id="2087455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4.xml"/><Relationship Id="rId18" Type="http://schemas.openxmlformats.org/officeDocument/2006/relationships/hyperlink" Target="http://statchatva.org/2016/03/07/how-to-modify-poverty-calculations-for-college-tow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ensus.gov/programs-surveys/acs/guidance/estimates.html"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forbes.com/sites/joelkotkin/2016/10/13/the-next-great-american-metropolis-is-taking-shape-in-texa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xpressnews.com/news/local/article/San-Marcos-fastest-growing-city-in-the-U-S-for-6277231.php" TargetMode="External"/><Relationship Id="rId20" Type="http://schemas.openxmlformats.org/officeDocument/2006/relationships/hyperlink" Target="https://www.census.gov/programs-surveys/acs/methodology/design-and-methodolog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ichmondgov.com/CommissionAntiPoverty/documents/Antipovertycommissionfinal1_17_2013c--printready.pdf" TargetMode="Externa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yperlink" Target="https://communityimpact.com/austin/san-marcos-buda-kyle/city-county/2017/02/15/poverty-persists-rising-wages-san-marcos-signal-improve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yperlink" Target="http://www.mystatesman.com/news/local/san-marcos-poverty-boomtown/xOvfNjYg9hDNdhb8Gy4rNK/"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tag174200:Users:tl28:Downloads:sunbelt%20comparison%20poverty-2.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1:  Student, Non-Student, and Overall Poverty Rates in San Marcos 2006-2010 and 2011-2015 Estimates</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Sheet1!$B$8</c:f>
              <c:strCache>
                <c:ptCount val="1"/>
                <c:pt idx="0">
                  <c:v>2006-2010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Sheet1!$C$7:$E$7</c:f>
              <c:strCache>
                <c:ptCount val="3"/>
                <c:pt idx="0">
                  <c:v>Student Poverty</c:v>
                </c:pt>
                <c:pt idx="1">
                  <c:v>Non-Student Poverty</c:v>
                </c:pt>
                <c:pt idx="2">
                  <c:v>Overall Poverty</c:v>
                </c:pt>
              </c:strCache>
            </c:strRef>
          </c:cat>
          <c:val>
            <c:numRef>
              <c:f>Sheet1!$C$8:$E$8</c:f>
              <c:numCache>
                <c:formatCode>General</c:formatCode>
                <c:ptCount val="3"/>
                <c:pt idx="0">
                  <c:v>72</c:v>
                </c:pt>
                <c:pt idx="1">
                  <c:v>19</c:v>
                </c:pt>
                <c:pt idx="2">
                  <c:v>37</c:v>
                </c:pt>
              </c:numCache>
            </c:numRef>
          </c:val>
          <c:extLst>
            <c:ext xmlns:c16="http://schemas.microsoft.com/office/drawing/2014/chart" uri="{C3380CC4-5D6E-409C-BE32-E72D297353CC}">
              <c16:uniqueId val="{00000000-B801-42EE-871A-D825E498E945}"/>
            </c:ext>
          </c:extLst>
        </c:ser>
        <c:ser>
          <c:idx val="1"/>
          <c:order val="1"/>
          <c:tx>
            <c:strRef>
              <c:f>Sheet1!$B$9</c:f>
              <c:strCache>
                <c:ptCount val="1"/>
                <c:pt idx="0">
                  <c:v>2011-2015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Sheet1!$C$7:$E$7</c:f>
              <c:strCache>
                <c:ptCount val="3"/>
                <c:pt idx="0">
                  <c:v>Student Poverty</c:v>
                </c:pt>
                <c:pt idx="1">
                  <c:v>Non-Student Poverty</c:v>
                </c:pt>
                <c:pt idx="2">
                  <c:v>Overall Poverty</c:v>
                </c:pt>
              </c:strCache>
            </c:strRef>
          </c:cat>
          <c:val>
            <c:numRef>
              <c:f>Sheet1!$C$9:$E$9</c:f>
              <c:numCache>
                <c:formatCode>General</c:formatCode>
                <c:ptCount val="3"/>
                <c:pt idx="0">
                  <c:v>62</c:v>
                </c:pt>
                <c:pt idx="1">
                  <c:v>23</c:v>
                </c:pt>
                <c:pt idx="2">
                  <c:v>37</c:v>
                </c:pt>
              </c:numCache>
            </c:numRef>
          </c:val>
          <c:extLst>
            <c:ext xmlns:c16="http://schemas.microsoft.com/office/drawing/2014/chart" uri="{C3380CC4-5D6E-409C-BE32-E72D297353CC}">
              <c16:uniqueId val="{00000001-B801-42EE-871A-D825E498E945}"/>
            </c:ext>
          </c:extLst>
        </c:ser>
        <c:dLbls>
          <c:showLegendKey val="0"/>
          <c:showVal val="0"/>
          <c:showCatName val="0"/>
          <c:showSerName val="0"/>
          <c:showPercent val="0"/>
          <c:showBubbleSize val="0"/>
        </c:dLbls>
        <c:gapWidth val="219"/>
        <c:overlap val="-27"/>
        <c:axId val="2094058568"/>
        <c:axId val="2094808696"/>
      </c:barChart>
      <c:catAx>
        <c:axId val="2094058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4808696"/>
        <c:crosses val="autoZero"/>
        <c:auto val="1"/>
        <c:lblAlgn val="ctr"/>
        <c:lblOffset val="100"/>
        <c:noMultiLvlLbl val="0"/>
      </c:catAx>
      <c:valAx>
        <c:axId val="2094808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4058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a:t>
            </a:r>
            <a:r>
              <a:rPr lang="en-US" sz="1200" baseline="0"/>
              <a:t> 2:  Percent Non-College Student Poverty in Austin-Round Rock-San Marcos MSA Suburbs over 25,000 Population 2006-2010 and 2011-2015 Estimates</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'Figure for paper'!$G$8</c:f>
              <c:strCache>
                <c:ptCount val="1"/>
                <c:pt idx="0">
                  <c:v>2006-2010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for paper'!$H$7:$N$7</c:f>
              <c:strCache>
                <c:ptCount val="7"/>
                <c:pt idx="0">
                  <c:v>San Marcos</c:v>
                </c:pt>
                <c:pt idx="1">
                  <c:v>Round Rock</c:v>
                </c:pt>
                <c:pt idx="2">
                  <c:v>Georgetown</c:v>
                </c:pt>
                <c:pt idx="3">
                  <c:v>Pflugerville</c:v>
                </c:pt>
                <c:pt idx="4">
                  <c:v>Kyle</c:v>
                </c:pt>
                <c:pt idx="5">
                  <c:v>Leander</c:v>
                </c:pt>
                <c:pt idx="6">
                  <c:v>Cedar Park</c:v>
                </c:pt>
              </c:strCache>
            </c:strRef>
          </c:cat>
          <c:val>
            <c:numRef>
              <c:f>'Figure for paper'!$H$8:$N$8</c:f>
              <c:numCache>
                <c:formatCode>General</c:formatCode>
                <c:ptCount val="7"/>
                <c:pt idx="0">
                  <c:v>19</c:v>
                </c:pt>
                <c:pt idx="1">
                  <c:v>6</c:v>
                </c:pt>
                <c:pt idx="2">
                  <c:v>9</c:v>
                </c:pt>
                <c:pt idx="3">
                  <c:v>7</c:v>
                </c:pt>
                <c:pt idx="4">
                  <c:v>7</c:v>
                </c:pt>
                <c:pt idx="5">
                  <c:v>4</c:v>
                </c:pt>
                <c:pt idx="6">
                  <c:v>7</c:v>
                </c:pt>
              </c:numCache>
            </c:numRef>
          </c:val>
          <c:extLst>
            <c:ext xmlns:c16="http://schemas.microsoft.com/office/drawing/2014/chart" uri="{C3380CC4-5D6E-409C-BE32-E72D297353CC}">
              <c16:uniqueId val="{00000000-E5BB-4DFD-9D53-E0061149A134}"/>
            </c:ext>
          </c:extLst>
        </c:ser>
        <c:ser>
          <c:idx val="1"/>
          <c:order val="1"/>
          <c:tx>
            <c:strRef>
              <c:f>'Figure for paper'!$G$9</c:f>
              <c:strCache>
                <c:ptCount val="1"/>
                <c:pt idx="0">
                  <c:v>2011-2015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for paper'!$H$7:$N$7</c:f>
              <c:strCache>
                <c:ptCount val="7"/>
                <c:pt idx="0">
                  <c:v>San Marcos</c:v>
                </c:pt>
                <c:pt idx="1">
                  <c:v>Round Rock</c:v>
                </c:pt>
                <c:pt idx="2">
                  <c:v>Georgetown</c:v>
                </c:pt>
                <c:pt idx="3">
                  <c:v>Pflugerville</c:v>
                </c:pt>
                <c:pt idx="4">
                  <c:v>Kyle</c:v>
                </c:pt>
                <c:pt idx="5">
                  <c:v>Leander</c:v>
                </c:pt>
                <c:pt idx="6">
                  <c:v>Cedar Park</c:v>
                </c:pt>
              </c:strCache>
            </c:strRef>
          </c:cat>
          <c:val>
            <c:numRef>
              <c:f>'Figure for paper'!$H$9:$N$9</c:f>
              <c:numCache>
                <c:formatCode>General</c:formatCode>
                <c:ptCount val="7"/>
                <c:pt idx="0">
                  <c:v>23</c:v>
                </c:pt>
                <c:pt idx="1">
                  <c:v>10</c:v>
                </c:pt>
                <c:pt idx="2">
                  <c:v>8</c:v>
                </c:pt>
                <c:pt idx="3">
                  <c:v>8</c:v>
                </c:pt>
                <c:pt idx="4">
                  <c:v>6</c:v>
                </c:pt>
                <c:pt idx="5">
                  <c:v>4</c:v>
                </c:pt>
                <c:pt idx="6">
                  <c:v>4</c:v>
                </c:pt>
              </c:numCache>
            </c:numRef>
          </c:val>
          <c:extLst>
            <c:ext xmlns:c16="http://schemas.microsoft.com/office/drawing/2014/chart" uri="{C3380CC4-5D6E-409C-BE32-E72D297353CC}">
              <c16:uniqueId val="{00000001-E5BB-4DFD-9D53-E0061149A134}"/>
            </c:ext>
          </c:extLst>
        </c:ser>
        <c:dLbls>
          <c:showLegendKey val="0"/>
          <c:showVal val="0"/>
          <c:showCatName val="0"/>
          <c:showSerName val="0"/>
          <c:showPercent val="0"/>
          <c:showBubbleSize val="0"/>
        </c:dLbls>
        <c:gapWidth val="219"/>
        <c:overlap val="-27"/>
        <c:axId val="2095003176"/>
        <c:axId val="2094763656"/>
      </c:barChart>
      <c:catAx>
        <c:axId val="209500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4763656"/>
        <c:crosses val="autoZero"/>
        <c:auto val="1"/>
        <c:lblAlgn val="ctr"/>
        <c:lblOffset val="100"/>
        <c:noMultiLvlLbl val="0"/>
      </c:catAx>
      <c:valAx>
        <c:axId val="2094763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5003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Figure 3:  Poverty</a:t>
            </a:r>
            <a:r>
              <a:rPr lang="en-US" sz="1400" baseline="0"/>
              <a:t> in College Towns in Growing Metro Areas 2011-2015 Estimates</a:t>
            </a:r>
            <a:endParaRPr lang="en-US" sz="1400"/>
          </a:p>
        </c:rich>
      </c:tx>
      <c:overlay val="0"/>
    </c:title>
    <c:autoTitleDeleted val="0"/>
    <c:plotArea>
      <c:layout/>
      <c:barChart>
        <c:barDir val="col"/>
        <c:grouping val="clustered"/>
        <c:varyColors val="0"/>
        <c:ser>
          <c:idx val="0"/>
          <c:order val="0"/>
          <c:tx>
            <c:strRef>
              <c:f>'poverty college megalopolis'!$B$39</c:f>
              <c:strCache>
                <c:ptCount val="1"/>
                <c:pt idx="0">
                  <c:v>Overall Poverty</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'poverty college megalopolis'!$A$40:$A$46</c:f>
              <c:strCache>
                <c:ptCount val="7"/>
                <c:pt idx="0">
                  <c:v>San Marcos</c:v>
                </c:pt>
                <c:pt idx="1">
                  <c:v>Boulder</c:v>
                </c:pt>
                <c:pt idx="2">
                  <c:v>Tempe</c:v>
                </c:pt>
                <c:pt idx="3">
                  <c:v>Denton</c:v>
                </c:pt>
                <c:pt idx="4">
                  <c:v>Norman</c:v>
                </c:pt>
                <c:pt idx="5">
                  <c:v>Murfreesboro</c:v>
                </c:pt>
                <c:pt idx="6">
                  <c:v>Kennesaw</c:v>
                </c:pt>
              </c:strCache>
            </c:strRef>
          </c:cat>
          <c:val>
            <c:numRef>
              <c:f>'poverty college megalopolis'!$B$40:$B$46</c:f>
              <c:numCache>
                <c:formatCode>0.0</c:formatCode>
                <c:ptCount val="7"/>
                <c:pt idx="0">
                  <c:v>36.875092637686073</c:v>
                </c:pt>
                <c:pt idx="1">
                  <c:v>23.434822438971821</c:v>
                </c:pt>
                <c:pt idx="2">
                  <c:v>21.21129662384109</c:v>
                </c:pt>
                <c:pt idx="3">
                  <c:v>20.382696252765822</c:v>
                </c:pt>
                <c:pt idx="4">
                  <c:v>17.797978081726281</c:v>
                </c:pt>
                <c:pt idx="5">
                  <c:v>16.08036969323912</c:v>
                </c:pt>
                <c:pt idx="6">
                  <c:v>9.5826442260920306</c:v>
                </c:pt>
              </c:numCache>
            </c:numRef>
          </c:val>
          <c:extLst>
            <c:ext xmlns:c16="http://schemas.microsoft.com/office/drawing/2014/chart" uri="{C3380CC4-5D6E-409C-BE32-E72D297353CC}">
              <c16:uniqueId val="{00000000-4BD1-4578-B0D2-8FECC9B1507F}"/>
            </c:ext>
          </c:extLst>
        </c:ser>
        <c:ser>
          <c:idx val="1"/>
          <c:order val="1"/>
          <c:tx>
            <c:strRef>
              <c:f>'poverty college megalopolis'!$C$39</c:f>
              <c:strCache>
                <c:ptCount val="1"/>
                <c:pt idx="0">
                  <c:v>Student Poverty</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'poverty college megalopolis'!$A$40:$A$46</c:f>
              <c:strCache>
                <c:ptCount val="7"/>
                <c:pt idx="0">
                  <c:v>San Marcos</c:v>
                </c:pt>
                <c:pt idx="1">
                  <c:v>Boulder</c:v>
                </c:pt>
                <c:pt idx="2">
                  <c:v>Tempe</c:v>
                </c:pt>
                <c:pt idx="3">
                  <c:v>Denton</c:v>
                </c:pt>
                <c:pt idx="4">
                  <c:v>Norman</c:v>
                </c:pt>
                <c:pt idx="5">
                  <c:v>Murfreesboro</c:v>
                </c:pt>
                <c:pt idx="6">
                  <c:v>Kennesaw</c:v>
                </c:pt>
              </c:strCache>
            </c:strRef>
          </c:cat>
          <c:val>
            <c:numRef>
              <c:f>'poverty college megalopolis'!$C$40:$C$46</c:f>
              <c:numCache>
                <c:formatCode>0.0</c:formatCode>
                <c:ptCount val="7"/>
                <c:pt idx="0">
                  <c:v>62.402231249621053</c:v>
                </c:pt>
                <c:pt idx="1">
                  <c:v>62.271030471395093</c:v>
                </c:pt>
                <c:pt idx="2">
                  <c:v>46.655451903960838</c:v>
                </c:pt>
                <c:pt idx="3">
                  <c:v>48.616600790513843</c:v>
                </c:pt>
                <c:pt idx="4">
                  <c:v>40.624319023752463</c:v>
                </c:pt>
                <c:pt idx="5">
                  <c:v>43.19875355642867</c:v>
                </c:pt>
                <c:pt idx="6">
                  <c:v>24.695707879564338</c:v>
                </c:pt>
              </c:numCache>
            </c:numRef>
          </c:val>
          <c:extLst>
            <c:ext xmlns:c16="http://schemas.microsoft.com/office/drawing/2014/chart" uri="{C3380CC4-5D6E-409C-BE32-E72D297353CC}">
              <c16:uniqueId val="{00000001-4BD1-4578-B0D2-8FECC9B1507F}"/>
            </c:ext>
          </c:extLst>
        </c:ser>
        <c:ser>
          <c:idx val="2"/>
          <c:order val="2"/>
          <c:tx>
            <c:strRef>
              <c:f>'poverty college megalopolis'!$D$39</c:f>
              <c:strCache>
                <c:ptCount val="1"/>
                <c:pt idx="0">
                  <c:v>Non-Student Poverty</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'poverty college megalopolis'!$A$40:$A$46</c:f>
              <c:strCache>
                <c:ptCount val="7"/>
                <c:pt idx="0">
                  <c:v>San Marcos</c:v>
                </c:pt>
                <c:pt idx="1">
                  <c:v>Boulder</c:v>
                </c:pt>
                <c:pt idx="2">
                  <c:v>Tempe</c:v>
                </c:pt>
                <c:pt idx="3">
                  <c:v>Denton</c:v>
                </c:pt>
                <c:pt idx="4">
                  <c:v>Norman</c:v>
                </c:pt>
                <c:pt idx="5">
                  <c:v>Murfreesboro</c:v>
                </c:pt>
                <c:pt idx="6">
                  <c:v>Kennesaw</c:v>
                </c:pt>
              </c:strCache>
            </c:strRef>
          </c:cat>
          <c:val>
            <c:numRef>
              <c:f>'poverty college megalopolis'!$D$40:$D$46</c:f>
              <c:numCache>
                <c:formatCode>0.0</c:formatCode>
                <c:ptCount val="7"/>
                <c:pt idx="0">
                  <c:v>23.176286848441471</c:v>
                </c:pt>
                <c:pt idx="1">
                  <c:v>10.606907823992429</c:v>
                </c:pt>
                <c:pt idx="2">
                  <c:v>14.37296550817085</c:v>
                </c:pt>
                <c:pt idx="3">
                  <c:v>13.547195424552971</c:v>
                </c:pt>
                <c:pt idx="4">
                  <c:v>13.01394106162155</c:v>
                </c:pt>
                <c:pt idx="5">
                  <c:v>11.825476962321311</c:v>
                </c:pt>
                <c:pt idx="6">
                  <c:v>7.8802092729568827</c:v>
                </c:pt>
              </c:numCache>
            </c:numRef>
          </c:val>
          <c:extLst>
            <c:ext xmlns:c16="http://schemas.microsoft.com/office/drawing/2014/chart" uri="{C3380CC4-5D6E-409C-BE32-E72D297353CC}">
              <c16:uniqueId val="{00000002-4BD1-4578-B0D2-8FECC9B1507F}"/>
            </c:ext>
          </c:extLst>
        </c:ser>
        <c:dLbls>
          <c:showLegendKey val="0"/>
          <c:showVal val="0"/>
          <c:showCatName val="0"/>
          <c:showSerName val="0"/>
          <c:showPercent val="0"/>
          <c:showBubbleSize val="0"/>
        </c:dLbls>
        <c:gapWidth val="150"/>
        <c:axId val="2094146312"/>
        <c:axId val="2094282264"/>
      </c:barChart>
      <c:catAx>
        <c:axId val="2094146312"/>
        <c:scaling>
          <c:orientation val="minMax"/>
        </c:scaling>
        <c:delete val="0"/>
        <c:axPos val="b"/>
        <c:numFmt formatCode="General" sourceLinked="0"/>
        <c:majorTickMark val="none"/>
        <c:minorTickMark val="none"/>
        <c:tickLblPos val="nextTo"/>
        <c:crossAx val="2094282264"/>
        <c:crosses val="autoZero"/>
        <c:auto val="1"/>
        <c:lblAlgn val="ctr"/>
        <c:lblOffset val="100"/>
        <c:noMultiLvlLbl val="0"/>
      </c:catAx>
      <c:valAx>
        <c:axId val="2094282264"/>
        <c:scaling>
          <c:orientation val="minMax"/>
        </c:scaling>
        <c:delete val="0"/>
        <c:axPos val="l"/>
        <c:majorGridlines/>
        <c:numFmt formatCode="0.0" sourceLinked="1"/>
        <c:majorTickMark val="none"/>
        <c:minorTickMark val="none"/>
        <c:tickLblPos val="nextTo"/>
        <c:crossAx val="209414631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Figure 4: Non-College</a:t>
            </a:r>
            <a:r>
              <a:rPr lang="en-US" sz="1400" baseline="0"/>
              <a:t> Student Poverty in San Marcos and Boulder 2006-2010 and 2011-2015 Estimates</a:t>
            </a:r>
            <a:endParaRPr lang="en-US" sz="1400"/>
          </a:p>
        </c:rich>
      </c:tx>
      <c:overlay val="0"/>
      <c:spPr>
        <a:noFill/>
        <a:ln w="25400">
          <a:noFill/>
        </a:ln>
      </c:spPr>
    </c:title>
    <c:autoTitleDeleted val="0"/>
    <c:plotArea>
      <c:layout/>
      <c:barChart>
        <c:barDir val="col"/>
        <c:grouping val="clustered"/>
        <c:varyColors val="0"/>
        <c:ser>
          <c:idx val="0"/>
          <c:order val="0"/>
          <c:tx>
            <c:strRef>
              <c:f>Sheet1!$A$27</c:f>
              <c:strCache>
                <c:ptCount val="1"/>
                <c:pt idx="0">
                  <c:v>2006-2010</c:v>
                </c:pt>
              </c:strCache>
            </c:strRef>
          </c:tx>
          <c:spPr>
            <a:gradFill rotWithShape="0">
              <a:gsLst>
                <a:gs pos="0">
                  <a:srgbClr val="71A6DB"/>
                </a:gs>
                <a:gs pos="50000">
                  <a:srgbClr val="559BDB"/>
                </a:gs>
                <a:gs pos="100000">
                  <a:srgbClr val="438AC9"/>
                </a:gs>
              </a:gsLst>
              <a:lin ang="5400000"/>
            </a:gradFill>
            <a:ln w="25400">
              <a:noFill/>
            </a:ln>
          </c:spPr>
          <c:invertIfNegative val="0"/>
          <c:cat>
            <c:strRef>
              <c:f>Sheet1!$B$26:$C$26</c:f>
              <c:strCache>
                <c:ptCount val="2"/>
                <c:pt idx="0">
                  <c:v>San Marcos</c:v>
                </c:pt>
                <c:pt idx="1">
                  <c:v>Boulder</c:v>
                </c:pt>
              </c:strCache>
            </c:strRef>
          </c:cat>
          <c:val>
            <c:numRef>
              <c:f>Sheet1!$B$27:$C$27</c:f>
              <c:numCache>
                <c:formatCode>General</c:formatCode>
                <c:ptCount val="2"/>
                <c:pt idx="0">
                  <c:v>18.5</c:v>
                </c:pt>
                <c:pt idx="1">
                  <c:v>9.8000000000000007</c:v>
                </c:pt>
              </c:numCache>
            </c:numRef>
          </c:val>
          <c:extLst>
            <c:ext xmlns:c16="http://schemas.microsoft.com/office/drawing/2014/chart" uri="{C3380CC4-5D6E-409C-BE32-E72D297353CC}">
              <c16:uniqueId val="{00000000-CF4A-4CB4-9209-D2246C94BA82}"/>
            </c:ext>
          </c:extLst>
        </c:ser>
        <c:ser>
          <c:idx val="1"/>
          <c:order val="1"/>
          <c:tx>
            <c:strRef>
              <c:f>Sheet1!$A$28</c:f>
              <c:strCache>
                <c:ptCount val="1"/>
                <c:pt idx="0">
                  <c:v>2011-2015</c:v>
                </c:pt>
              </c:strCache>
            </c:strRef>
          </c:tx>
          <c:spPr>
            <a:gradFill rotWithShape="0">
              <a:gsLst>
                <a:gs pos="0">
                  <a:srgbClr val="F18C55"/>
                </a:gs>
                <a:gs pos="50000">
                  <a:srgbClr val="F67B28"/>
                </a:gs>
                <a:gs pos="100000">
                  <a:srgbClr val="E56B17"/>
                </a:gs>
              </a:gsLst>
              <a:lin ang="5400000"/>
            </a:gradFill>
            <a:ln w="25400">
              <a:noFill/>
            </a:ln>
          </c:spPr>
          <c:invertIfNegative val="0"/>
          <c:cat>
            <c:strRef>
              <c:f>Sheet1!$B$26:$C$26</c:f>
              <c:strCache>
                <c:ptCount val="2"/>
                <c:pt idx="0">
                  <c:v>San Marcos</c:v>
                </c:pt>
                <c:pt idx="1">
                  <c:v>Boulder</c:v>
                </c:pt>
              </c:strCache>
            </c:strRef>
          </c:cat>
          <c:val>
            <c:numRef>
              <c:f>Sheet1!$B$28:$C$28</c:f>
              <c:numCache>
                <c:formatCode>General</c:formatCode>
                <c:ptCount val="2"/>
                <c:pt idx="0">
                  <c:v>23.2</c:v>
                </c:pt>
                <c:pt idx="1">
                  <c:v>10.1</c:v>
                </c:pt>
              </c:numCache>
            </c:numRef>
          </c:val>
          <c:extLst>
            <c:ext xmlns:c16="http://schemas.microsoft.com/office/drawing/2014/chart" uri="{C3380CC4-5D6E-409C-BE32-E72D297353CC}">
              <c16:uniqueId val="{00000001-CF4A-4CB4-9209-D2246C94BA82}"/>
            </c:ext>
          </c:extLst>
        </c:ser>
        <c:dLbls>
          <c:showLegendKey val="0"/>
          <c:showVal val="0"/>
          <c:showCatName val="0"/>
          <c:showSerName val="0"/>
          <c:showPercent val="0"/>
          <c:showBubbleSize val="0"/>
        </c:dLbls>
        <c:gapWidth val="150"/>
        <c:axId val="2095908856"/>
        <c:axId val="2102299944"/>
      </c:barChart>
      <c:catAx>
        <c:axId val="2095908856"/>
        <c:scaling>
          <c:orientation val="minMax"/>
        </c:scaling>
        <c:delete val="0"/>
        <c:axPos val="b"/>
        <c:numFmt formatCode="General" sourceLinked="1"/>
        <c:majorTickMark val="none"/>
        <c:minorTickMark val="none"/>
        <c:tickLblPos val="nextTo"/>
        <c:spPr>
          <a:ln w="3175">
            <a:solidFill>
              <a:srgbClr val="808080"/>
            </a:solidFill>
            <a:prstDash val="solid"/>
          </a:ln>
        </c:spPr>
        <c:crossAx val="2102299944"/>
        <c:crosses val="autoZero"/>
        <c:auto val="1"/>
        <c:lblAlgn val="ctr"/>
        <c:lblOffset val="100"/>
        <c:noMultiLvlLbl val="0"/>
      </c:catAx>
      <c:valAx>
        <c:axId val="2102299944"/>
        <c:scaling>
          <c:orientation val="minMax"/>
        </c:scaling>
        <c:delete val="0"/>
        <c:axPos val="l"/>
        <c:majorGridlines>
          <c:spPr>
            <a:ln w="3175">
              <a:solidFill>
                <a:srgbClr val="808080"/>
              </a:solidFill>
              <a:prstDash val="solid"/>
            </a:ln>
          </c:spPr>
        </c:majorGridlines>
        <c:numFmt formatCode="General" sourceLinked="1"/>
        <c:majorTickMark val="none"/>
        <c:minorTickMark val="none"/>
        <c:tickLblPos val="nextTo"/>
        <c:spPr>
          <a:ln w="3175">
            <a:solidFill>
              <a:srgbClr val="808080"/>
            </a:solidFill>
            <a:prstDash val="solid"/>
          </a:ln>
        </c:spPr>
        <c:crossAx val="2095908856"/>
        <c:crosses val="autoZero"/>
        <c:crossBetween val="between"/>
      </c:valAx>
      <c:spPr>
        <a:solidFill>
          <a:srgbClr val="FFFFFF"/>
        </a:solidFill>
        <a:ln w="25400">
          <a:noFill/>
        </a:ln>
      </c:spPr>
    </c:plotArea>
    <c:legend>
      <c:legendPos val="b"/>
      <c:overlay val="0"/>
      <c:spPr>
        <a:noFill/>
        <a:ln w="25400">
          <a:noFill/>
        </a:ln>
      </c:spPr>
    </c:legend>
    <c:plotVisOnly val="1"/>
    <c:dispBlanksAs val="gap"/>
    <c:showDLblsOverMax val="0"/>
  </c:chart>
  <c:spPr>
    <a:solidFill>
      <a:srgbClr val="FFFFFF"/>
    </a:solidFill>
    <a:ln w="3175">
      <a:solidFill>
        <a:srgbClr val="808080"/>
      </a:solidFill>
      <a:prstDash val="solid"/>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a:t>Figure 5:</a:t>
            </a:r>
            <a:r>
              <a:rPr lang="en-US" sz="1600" baseline="0"/>
              <a:t>  Major College Towns Index Scores 2006-2010 and 2011-2015 Estimates</a:t>
            </a:r>
            <a:endParaRPr lang="en-US" sz="1600"/>
          </a:p>
        </c:rich>
      </c:tx>
      <c:overlay val="0"/>
    </c:title>
    <c:autoTitleDeleted val="0"/>
    <c:plotArea>
      <c:layout/>
      <c:barChart>
        <c:barDir val="bar"/>
        <c:grouping val="clustered"/>
        <c:varyColors val="0"/>
        <c:ser>
          <c:idx val="0"/>
          <c:order val="0"/>
          <c:tx>
            <c:strRef>
              <c:f>'Index Scores 2005 and 2015'!$B$55</c:f>
              <c:strCache>
                <c:ptCount val="1"/>
                <c:pt idx="0">
                  <c:v>Index (2011-2015)</c:v>
                </c:pt>
              </c:strCache>
            </c:strRef>
          </c:tx>
          <c:invertIfNegative val="0"/>
          <c:cat>
            <c:strRef>
              <c:f>'Index Scores 2005 and 2015'!$A$56:$A$67</c:f>
              <c:strCache>
                <c:ptCount val="12"/>
                <c:pt idx="0">
                  <c:v>College Station</c:v>
                </c:pt>
                <c:pt idx="1">
                  <c:v>San Marcos</c:v>
                </c:pt>
                <c:pt idx="2">
                  <c:v>Nacogdoches</c:v>
                </c:pt>
                <c:pt idx="3">
                  <c:v>Canyon</c:v>
                </c:pt>
                <c:pt idx="4">
                  <c:v>Stephenville</c:v>
                </c:pt>
                <c:pt idx="5">
                  <c:v>Huntsville</c:v>
                </c:pt>
                <c:pt idx="6">
                  <c:v>Kingsville</c:v>
                </c:pt>
                <c:pt idx="7">
                  <c:v>Lubbock</c:v>
                </c:pt>
                <c:pt idx="8">
                  <c:v>Denton</c:v>
                </c:pt>
                <c:pt idx="9">
                  <c:v>Abilene</c:v>
                </c:pt>
                <c:pt idx="10">
                  <c:v>Waco</c:v>
                </c:pt>
                <c:pt idx="11">
                  <c:v>Belton</c:v>
                </c:pt>
              </c:strCache>
            </c:strRef>
          </c:cat>
          <c:val>
            <c:numRef>
              <c:f>'Index Scores 2005 and 2015'!$B$56:$B$67</c:f>
              <c:numCache>
                <c:formatCode>General</c:formatCode>
                <c:ptCount val="12"/>
                <c:pt idx="0">
                  <c:v>11.3</c:v>
                </c:pt>
                <c:pt idx="1">
                  <c:v>1.1000000000000001</c:v>
                </c:pt>
                <c:pt idx="2">
                  <c:v>0.4</c:v>
                </c:pt>
                <c:pt idx="3">
                  <c:v>2.8</c:v>
                </c:pt>
                <c:pt idx="4">
                  <c:v>-1.2</c:v>
                </c:pt>
                <c:pt idx="5">
                  <c:v>0.8</c:v>
                </c:pt>
                <c:pt idx="6">
                  <c:v>-1.8</c:v>
                </c:pt>
                <c:pt idx="7">
                  <c:v>-2.4</c:v>
                </c:pt>
                <c:pt idx="8">
                  <c:v>0.5</c:v>
                </c:pt>
                <c:pt idx="9">
                  <c:v>-3.3</c:v>
                </c:pt>
                <c:pt idx="10">
                  <c:v>-3.7</c:v>
                </c:pt>
                <c:pt idx="11">
                  <c:v>-4.5999999999999996</c:v>
                </c:pt>
              </c:numCache>
            </c:numRef>
          </c:val>
          <c:extLst>
            <c:ext xmlns:c16="http://schemas.microsoft.com/office/drawing/2014/chart" uri="{C3380CC4-5D6E-409C-BE32-E72D297353CC}">
              <c16:uniqueId val="{00000000-AA8B-4D48-8896-E586F7C64333}"/>
            </c:ext>
          </c:extLst>
        </c:ser>
        <c:ser>
          <c:idx val="1"/>
          <c:order val="1"/>
          <c:tx>
            <c:strRef>
              <c:f>'Index Scores 2005 and 2015'!$C$55</c:f>
              <c:strCache>
                <c:ptCount val="1"/>
                <c:pt idx="0">
                  <c:v>Index (2006-2010)</c:v>
                </c:pt>
              </c:strCache>
            </c:strRef>
          </c:tx>
          <c:invertIfNegative val="0"/>
          <c:cat>
            <c:strRef>
              <c:f>'Index Scores 2005 and 2015'!$A$56:$A$67</c:f>
              <c:strCache>
                <c:ptCount val="12"/>
                <c:pt idx="0">
                  <c:v>College Station</c:v>
                </c:pt>
                <c:pt idx="1">
                  <c:v>San Marcos</c:v>
                </c:pt>
                <c:pt idx="2">
                  <c:v>Nacogdoches</c:v>
                </c:pt>
                <c:pt idx="3">
                  <c:v>Canyon</c:v>
                </c:pt>
                <c:pt idx="4">
                  <c:v>Stephenville</c:v>
                </c:pt>
                <c:pt idx="5">
                  <c:v>Huntsville</c:v>
                </c:pt>
                <c:pt idx="6">
                  <c:v>Kingsville</c:v>
                </c:pt>
                <c:pt idx="7">
                  <c:v>Lubbock</c:v>
                </c:pt>
                <c:pt idx="8">
                  <c:v>Denton</c:v>
                </c:pt>
                <c:pt idx="9">
                  <c:v>Abilene</c:v>
                </c:pt>
                <c:pt idx="10">
                  <c:v>Waco</c:v>
                </c:pt>
                <c:pt idx="11">
                  <c:v>Belton</c:v>
                </c:pt>
              </c:strCache>
            </c:strRef>
          </c:cat>
          <c:val>
            <c:numRef>
              <c:f>'Index Scores 2005 and 2015'!$C$56:$C$67</c:f>
              <c:numCache>
                <c:formatCode>0.0</c:formatCode>
                <c:ptCount val="12"/>
                <c:pt idx="0">
                  <c:v>9.7000000000000011</c:v>
                </c:pt>
                <c:pt idx="1">
                  <c:v>3.1</c:v>
                </c:pt>
                <c:pt idx="2">
                  <c:v>3</c:v>
                </c:pt>
                <c:pt idx="3">
                  <c:v>2.7</c:v>
                </c:pt>
                <c:pt idx="4">
                  <c:v>1.4</c:v>
                </c:pt>
                <c:pt idx="5">
                  <c:v>0.6</c:v>
                </c:pt>
                <c:pt idx="6">
                  <c:v>-1</c:v>
                </c:pt>
                <c:pt idx="7">
                  <c:v>-2.2000000000000002</c:v>
                </c:pt>
                <c:pt idx="8">
                  <c:v>-2.8</c:v>
                </c:pt>
                <c:pt idx="9">
                  <c:v>-3.8</c:v>
                </c:pt>
                <c:pt idx="10">
                  <c:v>-4.2</c:v>
                </c:pt>
                <c:pt idx="11">
                  <c:v>-6.5</c:v>
                </c:pt>
              </c:numCache>
            </c:numRef>
          </c:val>
          <c:extLst>
            <c:ext xmlns:c16="http://schemas.microsoft.com/office/drawing/2014/chart" uri="{C3380CC4-5D6E-409C-BE32-E72D297353CC}">
              <c16:uniqueId val="{00000001-AA8B-4D48-8896-E586F7C64333}"/>
            </c:ext>
          </c:extLst>
        </c:ser>
        <c:dLbls>
          <c:showLegendKey val="0"/>
          <c:showVal val="0"/>
          <c:showCatName val="0"/>
          <c:showSerName val="0"/>
          <c:showPercent val="0"/>
          <c:showBubbleSize val="0"/>
        </c:dLbls>
        <c:gapWidth val="150"/>
        <c:axId val="2102321832"/>
        <c:axId val="2101754920"/>
      </c:barChart>
      <c:catAx>
        <c:axId val="2102321832"/>
        <c:scaling>
          <c:orientation val="minMax"/>
        </c:scaling>
        <c:delete val="0"/>
        <c:axPos val="l"/>
        <c:numFmt formatCode="General" sourceLinked="0"/>
        <c:majorTickMark val="out"/>
        <c:minorTickMark val="none"/>
        <c:tickLblPos val="low"/>
        <c:crossAx val="2101754920"/>
        <c:crosses val="autoZero"/>
        <c:auto val="1"/>
        <c:lblAlgn val="ctr"/>
        <c:lblOffset val="100"/>
        <c:noMultiLvlLbl val="0"/>
      </c:catAx>
      <c:valAx>
        <c:axId val="2101754920"/>
        <c:scaling>
          <c:orientation val="minMax"/>
        </c:scaling>
        <c:delete val="0"/>
        <c:axPos val="b"/>
        <c:majorGridlines/>
        <c:numFmt formatCode="General" sourceLinked="1"/>
        <c:majorTickMark val="out"/>
        <c:minorTickMark val="none"/>
        <c:tickLblPos val="nextTo"/>
        <c:crossAx val="2102321832"/>
        <c:crosses val="autoZero"/>
        <c:crossBetween val="between"/>
      </c:valAx>
    </c:plotArea>
    <c:legend>
      <c:legendPos val="b"/>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36809-44B7-466D-9D81-0C71AD86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tl28</dc:creator>
  <cp:keywords/>
  <dc:description/>
  <cp:lastModifiedBy>Thomas Longoria</cp:lastModifiedBy>
  <cp:revision>2</cp:revision>
  <cp:lastPrinted>2017-09-04T16:10:00Z</cp:lastPrinted>
  <dcterms:created xsi:type="dcterms:W3CDTF">2017-10-11T16:33:00Z</dcterms:created>
  <dcterms:modified xsi:type="dcterms:W3CDTF">2017-10-11T16:33:00Z</dcterms:modified>
</cp:coreProperties>
</file>