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D6F3" w14:textId="77777777" w:rsidR="002F42DB" w:rsidRDefault="006446E6">
      <w:pPr>
        <w:jc w:val="center"/>
        <w:rPr>
          <w:b/>
          <w:bCs/>
        </w:rPr>
      </w:pPr>
      <w:r>
        <w:rPr>
          <w:b/>
          <w:bCs/>
        </w:rPr>
        <w:t>TEXAS STATE VITA</w:t>
      </w:r>
    </w:p>
    <w:p w14:paraId="71D0F91F" w14:textId="77777777" w:rsidR="002F42DB" w:rsidRDefault="002F42DB">
      <w:pPr>
        <w:tabs>
          <w:tab w:val="left" w:pos="5040"/>
        </w:tabs>
      </w:pPr>
    </w:p>
    <w:p w14:paraId="78F21A16" w14:textId="77777777" w:rsidR="002F42DB" w:rsidRDefault="002F42DB">
      <w:pPr>
        <w:tabs>
          <w:tab w:val="left" w:pos="5040"/>
        </w:tabs>
      </w:pPr>
    </w:p>
    <w:p w14:paraId="73E3DDAB" w14:textId="5BCB132D" w:rsidR="002F42DB" w:rsidRDefault="006446E6" w:rsidP="00DB322B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14:paraId="18AB8555" w14:textId="77777777" w:rsidR="00DB322B" w:rsidRDefault="00DB322B" w:rsidP="00DB322B">
      <w:pPr>
        <w:ind w:left="720" w:hanging="720"/>
        <w:rPr>
          <w:b/>
          <w:bCs/>
        </w:rPr>
      </w:pPr>
    </w:p>
    <w:p w14:paraId="4DF8DFD4" w14:textId="1D755983" w:rsidR="00CF70C0" w:rsidRPr="00CF70C0" w:rsidRDefault="00CF70C0">
      <w:pPr>
        <w:rPr>
          <w:bCs/>
        </w:rPr>
      </w:pPr>
      <w:r>
        <w:rPr>
          <w:b/>
          <w:bCs/>
        </w:rPr>
        <w:t xml:space="preserve">Name: </w:t>
      </w:r>
      <w:r>
        <w:rPr>
          <w:bCs/>
        </w:rPr>
        <w:t>Hillary Reyes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Title:</w:t>
      </w:r>
      <w:r>
        <w:rPr>
          <w:bCs/>
          <w:i/>
        </w:rPr>
        <w:t xml:space="preserve"> </w:t>
      </w:r>
      <w:r>
        <w:rPr>
          <w:bCs/>
        </w:rPr>
        <w:t>Lecturer</w:t>
      </w:r>
    </w:p>
    <w:p w14:paraId="17A59C58" w14:textId="77777777" w:rsidR="002F42DB" w:rsidRDefault="002F42DB">
      <w:pPr>
        <w:tabs>
          <w:tab w:val="left" w:pos="5040"/>
        </w:tabs>
      </w:pPr>
    </w:p>
    <w:p w14:paraId="036265FD" w14:textId="306CDF9B" w:rsidR="002F42DB" w:rsidRPr="00DB322B" w:rsidRDefault="00CF70C0">
      <w:pPr>
        <w:rPr>
          <w:b/>
        </w:rPr>
      </w:pPr>
      <w:r w:rsidRPr="00CF70C0">
        <w:rPr>
          <w:b/>
        </w:rPr>
        <w:t xml:space="preserve">Educational Background 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1"/>
        <w:gridCol w:w="1055"/>
        <w:gridCol w:w="2107"/>
        <w:gridCol w:w="2107"/>
        <w:gridCol w:w="2220"/>
      </w:tblGrid>
      <w:tr w:rsidR="00CF70C0" w:rsidRPr="006446E6" w14:paraId="5F68FA71" w14:textId="77777777" w:rsidTr="00737D1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00D6EA9" w14:textId="6ACE97B2" w:rsidR="00CF70C0" w:rsidRPr="00737D11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Master of Arts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1E5AF71A" w14:textId="129E7BA8" w:rsidR="00CF70C0" w:rsidRPr="00737D11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2009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35D27526" w14:textId="77777777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 xml:space="preserve">Texas State University – </w:t>
            </w:r>
          </w:p>
          <w:p w14:paraId="7BF81978" w14:textId="65E51615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San Marcos</w:t>
            </w:r>
          </w:p>
          <w:p w14:paraId="22C672A5" w14:textId="63ACEC74" w:rsidR="00CF70C0" w:rsidRPr="00737D11" w:rsidRDefault="00CF70C0" w:rsidP="00CF70C0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3228EF05" w14:textId="7C68B3FF" w:rsidR="00CF70C0" w:rsidRPr="00737D11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Literature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05845E0" w14:textId="77777777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 xml:space="preserve">Thesis: </w:t>
            </w:r>
          </w:p>
          <w:p w14:paraId="67666CCE" w14:textId="65635B29" w:rsidR="00CF70C0" w:rsidRPr="00737D11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“God Bless the Child: Models for Teaching Virtue in the Golden Age of Children’s Literature”</w:t>
            </w:r>
          </w:p>
        </w:tc>
      </w:tr>
      <w:tr w:rsidR="00CF70C0" w:rsidRPr="006446E6" w14:paraId="42CA97E1" w14:textId="77777777" w:rsidTr="00737D1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19A244" w14:textId="77F6100B" w:rsidR="00CF70C0" w:rsidRPr="00737D11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Bachelor of Arts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172ECCA" w14:textId="04AF8D7F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2005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208D1752" w14:textId="1AB404E7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 xml:space="preserve">Texas A&amp;M University – </w:t>
            </w:r>
          </w:p>
          <w:p w14:paraId="072CC3F9" w14:textId="77777777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College Station</w:t>
            </w:r>
          </w:p>
          <w:p w14:paraId="30F2ABF1" w14:textId="44696555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8BB1CFC" w14:textId="2FAD1826" w:rsidR="00CF70C0" w:rsidRDefault="00CF70C0" w:rsidP="00CF70C0">
            <w:pPr>
              <w:tabs>
                <w:tab w:val="left" w:pos="5040"/>
              </w:tabs>
              <w:rPr>
                <w:iCs/>
              </w:rPr>
            </w:pPr>
            <w:r>
              <w:rPr>
                <w:iCs/>
              </w:rPr>
              <w:t>English and Secondary Education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D53CC1E" w14:textId="04DA28B4" w:rsidR="00CF70C0" w:rsidRPr="00737D11" w:rsidRDefault="00CF70C0" w:rsidP="00CF70C0">
            <w:pPr>
              <w:tabs>
                <w:tab w:val="left" w:pos="5040"/>
              </w:tabs>
              <w:rPr>
                <w:iCs/>
              </w:rPr>
            </w:pPr>
          </w:p>
        </w:tc>
      </w:tr>
    </w:tbl>
    <w:p w14:paraId="54265A07" w14:textId="5B66E7D2" w:rsidR="002F42DB" w:rsidRDefault="002F42DB">
      <w:pPr>
        <w:tabs>
          <w:tab w:val="left" w:pos="5040"/>
        </w:tabs>
      </w:pPr>
    </w:p>
    <w:p w14:paraId="5E58ABA3" w14:textId="15D83E41" w:rsidR="002F42DB" w:rsidRPr="00CF70C0" w:rsidRDefault="006446E6">
      <w:pPr>
        <w:rPr>
          <w:b/>
        </w:rPr>
      </w:pPr>
      <w:r w:rsidRPr="00CF70C0">
        <w:rPr>
          <w:b/>
        </w:rPr>
        <w:t>University Experience</w:t>
      </w:r>
    </w:p>
    <w:p w14:paraId="23D90AB9" w14:textId="0468160D" w:rsidR="00CF70C0" w:rsidRDefault="00CF70C0">
      <w:r>
        <w:t>Texas State University</w:t>
      </w:r>
      <w:r>
        <w:tab/>
      </w:r>
      <w:r>
        <w:tab/>
      </w:r>
      <w:r>
        <w:tab/>
        <w:t>Lecturer</w:t>
      </w:r>
      <w:r>
        <w:tab/>
      </w:r>
      <w:r>
        <w:tab/>
      </w:r>
      <w:r>
        <w:tab/>
      </w:r>
      <w:r>
        <w:tab/>
        <w:t>2019 – Present</w:t>
      </w:r>
    </w:p>
    <w:p w14:paraId="587D1D25" w14:textId="2822943E" w:rsidR="00CF70C0" w:rsidRDefault="00CF70C0">
      <w:r>
        <w:t>Austin Community College</w:t>
      </w:r>
      <w:r>
        <w:tab/>
      </w:r>
      <w:r>
        <w:tab/>
      </w:r>
      <w:r>
        <w:tab/>
        <w:t>Adjunct Associate Professor</w:t>
      </w:r>
      <w:r>
        <w:tab/>
      </w:r>
      <w:r>
        <w:tab/>
        <w:t xml:space="preserve">2012 – Present </w:t>
      </w:r>
    </w:p>
    <w:p w14:paraId="6858CE2A" w14:textId="519DC5BF" w:rsidR="00CF70C0" w:rsidRDefault="00CF70C0">
      <w:r>
        <w:t xml:space="preserve">University of Texas </w:t>
      </w:r>
      <w:proofErr w:type="spellStart"/>
      <w:r>
        <w:t>OnRamps</w:t>
      </w:r>
      <w:proofErr w:type="spellEnd"/>
      <w:r>
        <w:tab/>
      </w:r>
      <w:r>
        <w:tab/>
        <w:t>Rhetoric Grader</w:t>
      </w:r>
      <w:r>
        <w:tab/>
      </w:r>
      <w:r>
        <w:tab/>
      </w:r>
      <w:r>
        <w:tab/>
        <w:t xml:space="preserve">2018 – 2019 </w:t>
      </w:r>
    </w:p>
    <w:p w14:paraId="290BC0EC" w14:textId="2AAC8D69" w:rsidR="00CF70C0" w:rsidRDefault="00CF70C0">
      <w:r>
        <w:t>University of Texas System – Rio Grande</w:t>
      </w:r>
      <w:r>
        <w:tab/>
        <w:t>Instructional Facilitator</w:t>
      </w:r>
      <w:r>
        <w:tab/>
      </w:r>
      <w:r>
        <w:tab/>
        <w:t xml:space="preserve">2015 – 2016 </w:t>
      </w:r>
    </w:p>
    <w:p w14:paraId="04F9BDA2" w14:textId="1216A852" w:rsidR="00CF70C0" w:rsidRDefault="00CF70C0">
      <w:r>
        <w:t>Texas State University</w:t>
      </w:r>
      <w:r>
        <w:tab/>
      </w:r>
      <w:r>
        <w:tab/>
      </w:r>
      <w:r>
        <w:tab/>
        <w:t>Teaching Assistant</w:t>
      </w:r>
      <w:r>
        <w:tab/>
      </w:r>
      <w:r>
        <w:tab/>
      </w:r>
      <w:r>
        <w:tab/>
        <w:t>2007 – 2008</w:t>
      </w:r>
    </w:p>
    <w:p w14:paraId="7BECAB6B" w14:textId="2BD43F37" w:rsidR="00CF70C0" w:rsidRDefault="00CF70C0">
      <w:r>
        <w:t>Texas State University</w:t>
      </w:r>
      <w:r>
        <w:tab/>
      </w:r>
      <w:r>
        <w:tab/>
      </w:r>
      <w:r>
        <w:tab/>
        <w:t>Instructional Assistant</w:t>
      </w:r>
      <w:r>
        <w:tab/>
      </w:r>
      <w:r>
        <w:tab/>
      </w:r>
      <w:r>
        <w:tab/>
        <w:t xml:space="preserve">2006 – 2007 </w:t>
      </w:r>
    </w:p>
    <w:p w14:paraId="4CB9B260" w14:textId="77777777" w:rsidR="00CF70C0" w:rsidRDefault="00CF70C0"/>
    <w:p w14:paraId="0ABD780A" w14:textId="77777777" w:rsidR="002F42DB" w:rsidRDefault="002F42DB">
      <w:pPr>
        <w:tabs>
          <w:tab w:val="left" w:pos="5040"/>
        </w:tabs>
      </w:pPr>
    </w:p>
    <w:p w14:paraId="21B2D9B9" w14:textId="2C3151B5" w:rsidR="002F42DB" w:rsidRPr="00CF70C0" w:rsidRDefault="006446E6">
      <w:pPr>
        <w:rPr>
          <w:b/>
        </w:rPr>
      </w:pPr>
      <w:r w:rsidRPr="00CF70C0">
        <w:rPr>
          <w:b/>
        </w:rPr>
        <w:t>Relevant Professional Experience</w:t>
      </w:r>
    </w:p>
    <w:p w14:paraId="3DD2C6E7" w14:textId="2F542861" w:rsidR="00CF70C0" w:rsidRDefault="00CF70C0">
      <w:r>
        <w:t>Leander ISD</w:t>
      </w:r>
      <w:r>
        <w:tab/>
      </w:r>
      <w:r>
        <w:tab/>
        <w:t>Teacher</w:t>
      </w:r>
      <w:r>
        <w:tab/>
        <w:t>2015 – 2019</w:t>
      </w:r>
    </w:p>
    <w:p w14:paraId="72416598" w14:textId="13D7187A" w:rsidR="00CF70C0" w:rsidRDefault="00CF70C0">
      <w:r>
        <w:t xml:space="preserve">Lake Travis ISD </w:t>
      </w:r>
      <w:r>
        <w:tab/>
        <w:t>Teacher</w:t>
      </w:r>
      <w:r>
        <w:tab/>
        <w:t xml:space="preserve">2008 – 2015 </w:t>
      </w:r>
    </w:p>
    <w:p w14:paraId="2C5F1DAB" w14:textId="795FA0FB" w:rsidR="00CF70C0" w:rsidRDefault="00CF70C0">
      <w:r>
        <w:t xml:space="preserve">Spring ISD </w:t>
      </w:r>
      <w:r>
        <w:tab/>
      </w:r>
      <w:r>
        <w:tab/>
        <w:t>Teacher</w:t>
      </w:r>
      <w:r>
        <w:tab/>
        <w:t xml:space="preserve">2005 – 2006 </w:t>
      </w:r>
    </w:p>
    <w:p w14:paraId="655749A0" w14:textId="77777777" w:rsidR="002F42DB" w:rsidRDefault="002F42DB">
      <w:pPr>
        <w:tabs>
          <w:tab w:val="left" w:pos="5040"/>
        </w:tabs>
      </w:pPr>
    </w:p>
    <w:p w14:paraId="60B05A89" w14:textId="64AFAFD2" w:rsidR="002F42DB" w:rsidRPr="00CF70C0" w:rsidRDefault="006446E6">
      <w:pPr>
        <w:rPr>
          <w:b/>
        </w:rPr>
      </w:pPr>
      <w:r w:rsidRPr="00CF70C0">
        <w:rPr>
          <w:b/>
        </w:rPr>
        <w:t>Other Professional Credentials (licensure, certification, etc.)</w:t>
      </w:r>
    </w:p>
    <w:p w14:paraId="42F90832" w14:textId="0C16916A" w:rsidR="00CF70C0" w:rsidRDefault="00CF70C0">
      <w:r>
        <w:t xml:space="preserve">Secondary Teaching Certification in English, Language Arts, and Reading </w:t>
      </w:r>
    </w:p>
    <w:p w14:paraId="5DC2659D" w14:textId="39384820" w:rsidR="00CF70C0" w:rsidRDefault="00CF70C0">
      <w:r>
        <w:t xml:space="preserve">Secondary Teaching Certification in Speech </w:t>
      </w:r>
    </w:p>
    <w:p w14:paraId="688E2AAF" w14:textId="05D85C10" w:rsidR="002F42DB" w:rsidRPr="00DB322B" w:rsidRDefault="00CF70C0" w:rsidP="00DB322B">
      <w:r>
        <w:t xml:space="preserve">Secondary Teaching Certification in English as a Second Language Supplemental </w:t>
      </w:r>
    </w:p>
    <w:p w14:paraId="31087183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51A9FC19" w14:textId="4183C3A7" w:rsidR="002F42DB" w:rsidRDefault="006446E6" w:rsidP="00DB322B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14:paraId="76F5AB24" w14:textId="77777777" w:rsidR="00DB322B" w:rsidRPr="00DB322B" w:rsidRDefault="00DB322B" w:rsidP="00DB322B">
      <w:pPr>
        <w:ind w:left="720" w:hanging="720"/>
        <w:rPr>
          <w:b/>
          <w:bCs/>
        </w:rPr>
      </w:pPr>
    </w:p>
    <w:p w14:paraId="013932B6" w14:textId="4A9DD041" w:rsidR="002F42DB" w:rsidRDefault="006446E6">
      <w:pPr>
        <w:rPr>
          <w:b/>
        </w:rPr>
      </w:pPr>
      <w:r w:rsidRPr="00CF70C0">
        <w:rPr>
          <w:b/>
        </w:rPr>
        <w:t>Teaching Honors and Awards:</w:t>
      </w:r>
    </w:p>
    <w:p w14:paraId="78CE7A89" w14:textId="39A0EBE3" w:rsidR="00CF70C0" w:rsidRPr="00CF70C0" w:rsidRDefault="00CF70C0">
      <w:r>
        <w:t xml:space="preserve">Nominated for </w:t>
      </w:r>
      <w:r w:rsidR="0041078F">
        <w:t xml:space="preserve">Teaching Excellence Award, Austin Community College </w:t>
      </w:r>
      <w:bookmarkStart w:id="0" w:name="_GoBack"/>
      <w:bookmarkEnd w:id="0"/>
    </w:p>
    <w:p w14:paraId="0A5B2B9D" w14:textId="77777777" w:rsidR="002F42DB" w:rsidRDefault="002F42DB">
      <w:pPr>
        <w:tabs>
          <w:tab w:val="left" w:pos="5040"/>
        </w:tabs>
      </w:pPr>
    </w:p>
    <w:p w14:paraId="66A4E20D" w14:textId="3CDFA224" w:rsidR="002F42DB" w:rsidRPr="00CF70C0" w:rsidRDefault="006446E6">
      <w:pPr>
        <w:rPr>
          <w:b/>
        </w:rPr>
      </w:pPr>
      <w:r w:rsidRPr="00CF70C0">
        <w:rPr>
          <w:b/>
        </w:rPr>
        <w:t>Courses Taught:</w:t>
      </w:r>
    </w:p>
    <w:p w14:paraId="1D518C8B" w14:textId="5C8979D9" w:rsidR="00CF70C0" w:rsidRDefault="00CF70C0">
      <w:r>
        <w:t>AUSTIN COMMUNITY COLLEGE</w:t>
      </w:r>
      <w:r>
        <w:tab/>
      </w:r>
    </w:p>
    <w:p w14:paraId="5E810505" w14:textId="113D3D70" w:rsidR="002F42DB" w:rsidRDefault="00BB0017" w:rsidP="00DB322B">
      <w:pPr>
        <w:ind w:left="720" w:hanging="720"/>
      </w:pPr>
      <w:r>
        <w:rPr>
          <w:b/>
        </w:rPr>
        <w:t xml:space="preserve">English </w:t>
      </w:r>
      <w:r w:rsidR="00CF70C0" w:rsidRPr="00CF70C0">
        <w:rPr>
          <w:b/>
        </w:rPr>
        <w:t>Composition I</w:t>
      </w:r>
      <w:r w:rsidR="00CF70C0">
        <w:t xml:space="preserve"> (English 1301)</w:t>
      </w:r>
      <w:r>
        <w:t xml:space="preserve"> </w:t>
      </w:r>
      <w:r w:rsidRPr="00BB0017">
        <w:t>A study of the principles of composition with emphasis on language, the mechanics of writing, the types of discourse, and research and documentation.</w:t>
      </w:r>
    </w:p>
    <w:p w14:paraId="69406C09" w14:textId="756A9D25" w:rsidR="00CF70C0" w:rsidRDefault="00BB0017" w:rsidP="00DB322B">
      <w:pPr>
        <w:ind w:left="720" w:hanging="720"/>
      </w:pPr>
      <w:r>
        <w:rPr>
          <w:b/>
        </w:rPr>
        <w:lastRenderedPageBreak/>
        <w:t xml:space="preserve">English </w:t>
      </w:r>
      <w:r w:rsidR="00CF70C0" w:rsidRPr="00CF70C0">
        <w:rPr>
          <w:b/>
        </w:rPr>
        <w:t>Composition II</w:t>
      </w:r>
      <w:r w:rsidR="00CF70C0">
        <w:t xml:space="preserve"> (English 1302)</w:t>
      </w:r>
      <w:r>
        <w:t xml:space="preserve"> </w:t>
      </w:r>
      <w:proofErr w:type="gramStart"/>
      <w:r w:rsidRPr="00BB0017">
        <w:t>A</w:t>
      </w:r>
      <w:proofErr w:type="gramEnd"/>
      <w:r w:rsidRPr="00BB0017">
        <w:t xml:space="preserve"> continuation of English 1301 with emphasis on analysis of readings in prose fiction.</w:t>
      </w:r>
    </w:p>
    <w:p w14:paraId="2114735E" w14:textId="77777777" w:rsidR="00CF70C0" w:rsidRDefault="00CF70C0" w:rsidP="00CF70C0">
      <w:pPr>
        <w:ind w:left="720" w:hanging="720"/>
      </w:pPr>
    </w:p>
    <w:p w14:paraId="289AA874" w14:textId="503D32AC" w:rsidR="00CF70C0" w:rsidRDefault="00CF70C0" w:rsidP="00CF70C0">
      <w:pPr>
        <w:ind w:left="720" w:hanging="720"/>
      </w:pPr>
      <w:r>
        <w:t xml:space="preserve">TEXAS STATE UNIVERSITY </w:t>
      </w:r>
    </w:p>
    <w:p w14:paraId="7D1DD54A" w14:textId="0B95AC43" w:rsidR="00CF70C0" w:rsidRDefault="00DB322B" w:rsidP="00DB322B">
      <w:pPr>
        <w:ind w:left="720" w:hanging="720"/>
      </w:pPr>
      <w:r>
        <w:rPr>
          <w:b/>
        </w:rPr>
        <w:t xml:space="preserve">College Writing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</w:t>
      </w:r>
      <w:r w:rsidR="00CF70C0">
        <w:t xml:space="preserve">(English 1310) </w:t>
      </w:r>
      <w:r w:rsidRPr="00DB322B">
        <w:t xml:space="preserve">Expository writing as a means </w:t>
      </w:r>
      <w:r>
        <w:t xml:space="preserve">of exploring and shaping ideas. </w:t>
      </w:r>
      <w:r w:rsidRPr="00DB322B">
        <w:t>Emphasis on critical reading and the improvement of essays through revision.</w:t>
      </w:r>
    </w:p>
    <w:p w14:paraId="7C8C7336" w14:textId="1E3877B3" w:rsidR="00CF70C0" w:rsidRDefault="00DB322B" w:rsidP="00DB322B">
      <w:pPr>
        <w:ind w:left="720" w:hanging="720"/>
      </w:pPr>
      <w:r>
        <w:rPr>
          <w:b/>
        </w:rPr>
        <w:t xml:space="preserve">College Writing II </w:t>
      </w:r>
      <w:r w:rsidR="00CF70C0">
        <w:t xml:space="preserve">(English 1320) </w:t>
      </w:r>
      <w:r w:rsidRPr="00DB322B">
        <w:t>Continuation of English 1310. Expository writing as a means of analyzing and understanding</w:t>
      </w:r>
      <w:r>
        <w:t xml:space="preserve"> texts.</w:t>
      </w:r>
    </w:p>
    <w:p w14:paraId="5FED8D5D" w14:textId="77777777" w:rsidR="002F42DB" w:rsidRDefault="002F42DB"/>
    <w:p w14:paraId="37550878" w14:textId="090AF1D9" w:rsidR="002F42DB" w:rsidRDefault="006446E6">
      <w:pPr>
        <w:rPr>
          <w:b/>
        </w:rPr>
      </w:pPr>
      <w:r w:rsidRPr="00BB0017">
        <w:rPr>
          <w:b/>
        </w:rPr>
        <w:t>Teaching Professional Development Activities Attended</w:t>
      </w:r>
    </w:p>
    <w:p w14:paraId="03ECC589" w14:textId="69F281AC" w:rsidR="00BB0017" w:rsidRPr="00BB0017" w:rsidRDefault="00BB0017">
      <w:r>
        <w:t xml:space="preserve">Austin Community College </w:t>
      </w:r>
      <w:r>
        <w:tab/>
      </w:r>
      <w:r>
        <w:tab/>
        <w:t>Great Questions Seminar for Faculty</w:t>
      </w:r>
      <w:r>
        <w:tab/>
      </w:r>
      <w:r>
        <w:tab/>
        <w:t>2018</w:t>
      </w:r>
    </w:p>
    <w:p w14:paraId="5432BBB5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3957FFF9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14:paraId="3E309C7E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590DE282" w14:textId="49B37D3D" w:rsidR="00BB0017" w:rsidRPr="00DB322B" w:rsidRDefault="006446E6" w:rsidP="00DB322B">
      <w:pPr>
        <w:ind w:left="720" w:hanging="720"/>
        <w:rPr>
          <w:b/>
          <w:bCs/>
        </w:rPr>
      </w:pPr>
      <w:r>
        <w:rPr>
          <w:b/>
          <w:bCs/>
        </w:rPr>
        <w:t>IV. SERVICE</w:t>
      </w:r>
    </w:p>
    <w:p w14:paraId="19E5D63E" w14:textId="442B0893" w:rsidR="002F42DB" w:rsidRPr="00BB0017" w:rsidRDefault="006446E6" w:rsidP="00BB0017">
      <w:pPr>
        <w:tabs>
          <w:tab w:val="left" w:pos="5040"/>
        </w:tabs>
        <w:rPr>
          <w:b/>
        </w:rPr>
      </w:pPr>
      <w:r w:rsidRPr="00BB0017">
        <w:rPr>
          <w:b/>
        </w:rPr>
        <w:t>Professional:</w:t>
      </w:r>
    </w:p>
    <w:p w14:paraId="41F4BEC0" w14:textId="6CBD9A51" w:rsidR="00BB0017" w:rsidRDefault="00BB0017" w:rsidP="00DB322B">
      <w:pPr>
        <w:tabs>
          <w:tab w:val="left" w:pos="3600"/>
        </w:tabs>
        <w:ind w:left="720" w:hanging="720"/>
      </w:pPr>
      <w:r>
        <w:t xml:space="preserve">Advisor, AP Ambassador Program, Vista Ridge High School – Leander ISD, 2018 – </w:t>
      </w:r>
      <w:r w:rsidR="00DB322B">
        <w:t xml:space="preserve">2019. </w:t>
      </w:r>
      <w:r w:rsidR="00DB322B">
        <w:t>Supervise</w:t>
      </w:r>
      <w:r w:rsidR="00DB322B">
        <w:t>d and le</w:t>
      </w:r>
      <w:r w:rsidR="00DB322B">
        <w:t>d a group of Advanced Placement students as they work</w:t>
      </w:r>
      <w:r w:rsidR="00DB322B">
        <w:t>ed</w:t>
      </w:r>
      <w:r w:rsidR="00DB322B">
        <w:t xml:space="preserve"> to spread information about the program to</w:t>
      </w:r>
      <w:r w:rsidR="00DB322B">
        <w:t xml:space="preserve"> their peers, a</w:t>
      </w:r>
      <w:r w:rsidR="00DB322B">
        <w:t>ct</w:t>
      </w:r>
      <w:r w:rsidR="00DB322B">
        <w:t>ed</w:t>
      </w:r>
      <w:r w:rsidR="00DB322B">
        <w:t xml:space="preserve"> as a liaison between administration and the AP Ambassador students</w:t>
      </w:r>
      <w:r w:rsidR="00DB322B">
        <w:t xml:space="preserve">. </w:t>
      </w:r>
    </w:p>
    <w:p w14:paraId="07EFC275" w14:textId="45AD8DDD" w:rsidR="00BB0017" w:rsidRDefault="00BB0017" w:rsidP="00DB322B">
      <w:pPr>
        <w:tabs>
          <w:tab w:val="left" w:pos="3600"/>
        </w:tabs>
        <w:ind w:left="720" w:hanging="720"/>
      </w:pPr>
      <w:r>
        <w:t xml:space="preserve">Coach, UIL Speech and Debate, Rouse High School – Leander ISD, 2015 – 2016. </w:t>
      </w:r>
      <w:r w:rsidR="00DB322B">
        <w:t>Prepare</w:t>
      </w:r>
      <w:r w:rsidR="00DB322B">
        <w:t>d</w:t>
      </w:r>
      <w:r w:rsidR="00DB322B">
        <w:t xml:space="preserve"> students for competition in UIL Cross-Examination and Lincoln-Douglas Debate, Extemporaneous speaking, Oral Interpretation of Poetry, and Oral Interpretation </w:t>
      </w:r>
      <w:r w:rsidR="00DB322B">
        <w:t>of Prose, a</w:t>
      </w:r>
      <w:r w:rsidR="00DB322B">
        <w:t>dvise</w:t>
      </w:r>
      <w:r w:rsidR="00DB322B">
        <w:t>d</w:t>
      </w:r>
      <w:r w:rsidR="00DB322B">
        <w:t xml:space="preserve"> students on sele</w:t>
      </w:r>
      <w:r w:rsidR="00DB322B">
        <w:t>ction of pieces for competition, p</w:t>
      </w:r>
      <w:r w:rsidR="00DB322B">
        <w:t>rovide</w:t>
      </w:r>
      <w:r w:rsidR="00DB322B">
        <w:t>d</w:t>
      </w:r>
      <w:r w:rsidR="00DB322B">
        <w:t xml:space="preserve"> feedback on student progress as they compete</w:t>
      </w:r>
      <w:r w:rsidR="00DB322B">
        <w:t>d</w:t>
      </w:r>
      <w:r w:rsidR="00DB322B">
        <w:t xml:space="preserve"> throughout the year</w:t>
      </w:r>
      <w:r w:rsidR="00DB322B">
        <w:t xml:space="preserve">. </w:t>
      </w:r>
    </w:p>
    <w:p w14:paraId="6F51C5EF" w14:textId="18B88800" w:rsidR="00BB0017" w:rsidRDefault="00BB0017" w:rsidP="00DB322B">
      <w:pPr>
        <w:tabs>
          <w:tab w:val="left" w:pos="3600"/>
        </w:tabs>
        <w:ind w:left="720" w:hanging="720"/>
      </w:pPr>
      <w:r>
        <w:t xml:space="preserve">Advisor, </w:t>
      </w:r>
      <w:r w:rsidRPr="00BB0017">
        <w:rPr>
          <w:i/>
        </w:rPr>
        <w:t>The Lake Travis Review</w:t>
      </w:r>
      <w:r>
        <w:t xml:space="preserve"> literary magazine, Lake Travis High School – Lake Travis ISD, 2014 – 2015. </w:t>
      </w:r>
      <w:r w:rsidR="00DB322B">
        <w:t>Facilitated product</w:t>
      </w:r>
      <w:r w:rsidR="00DB322B">
        <w:t>ion of school literary magazine, o</w:t>
      </w:r>
      <w:r w:rsidR="00DB322B">
        <w:t>rganize</w:t>
      </w:r>
      <w:r w:rsidR="00DB322B">
        <w:t>d</w:t>
      </w:r>
      <w:r w:rsidR="00DB322B">
        <w:t xml:space="preserve"> bi-a</w:t>
      </w:r>
      <w:r w:rsidR="00DB322B">
        <w:t>nnual open mic events on campus, and g</w:t>
      </w:r>
      <w:r w:rsidR="00DB322B">
        <w:t>uide</w:t>
      </w:r>
      <w:r w:rsidR="00DB322B">
        <w:t>d</w:t>
      </w:r>
      <w:r w:rsidR="00DB322B">
        <w:t xml:space="preserve"> students to market and judge annual Creative Arts Contest, open to all students</w:t>
      </w:r>
      <w:r w:rsidR="00DB322B">
        <w:t xml:space="preserve">. </w:t>
      </w:r>
    </w:p>
    <w:p w14:paraId="53BA4B34" w14:textId="7A462E5B" w:rsidR="00BB0017" w:rsidRDefault="00BB0017" w:rsidP="00DB322B">
      <w:pPr>
        <w:tabs>
          <w:tab w:val="left" w:pos="3600"/>
        </w:tabs>
        <w:ind w:left="720" w:hanging="720"/>
      </w:pPr>
      <w:r>
        <w:t>Advisor, National Honor Society, Lake Travis High School – Lake Travis ISD, 2009 –</w:t>
      </w:r>
      <w:r w:rsidR="00DB322B">
        <w:t xml:space="preserve"> 2015. Kept</w:t>
      </w:r>
      <w:r w:rsidR="00DB322B">
        <w:t xml:space="preserve"> records of all member</w:t>
      </w:r>
      <w:r w:rsidR="00DB322B">
        <w:t>s’ attendance and service hours, c</w:t>
      </w:r>
      <w:r w:rsidR="00DB322B">
        <w:t>ommunicate</w:t>
      </w:r>
      <w:r w:rsidR="00DB322B">
        <w:t>d</w:t>
      </w:r>
      <w:r w:rsidR="00DB322B">
        <w:t xml:space="preserve"> with members as t</w:t>
      </w:r>
      <w:r w:rsidR="00DB322B">
        <w:t>hey fell behind on requirements, o</w:t>
      </w:r>
      <w:r w:rsidR="00DB322B">
        <w:t>rganize</w:t>
      </w:r>
      <w:r w:rsidR="00DB322B">
        <w:t>d</w:t>
      </w:r>
      <w:r w:rsidR="00DB322B">
        <w:t xml:space="preserve"> monthly </w:t>
      </w:r>
      <w:r w:rsidR="00DB322B">
        <w:t>chapter meetings of all members, and c</w:t>
      </w:r>
      <w:r w:rsidR="00DB322B">
        <w:t>ommunicate</w:t>
      </w:r>
      <w:r w:rsidR="00DB322B">
        <w:t>d</w:t>
      </w:r>
      <w:r w:rsidR="00DB322B">
        <w:t xml:space="preserve"> between officers and committee chairs</w:t>
      </w:r>
      <w:r w:rsidR="00DB322B">
        <w:t>.</w:t>
      </w:r>
    </w:p>
    <w:p w14:paraId="54D68806" w14:textId="7913DA3C" w:rsidR="00BB0017" w:rsidRDefault="00BB0017" w:rsidP="00DB322B">
      <w:pPr>
        <w:tabs>
          <w:tab w:val="left" w:pos="3600"/>
        </w:tabs>
        <w:ind w:left="720" w:hanging="720"/>
      </w:pPr>
      <w:r>
        <w:t xml:space="preserve">Advisor, Senior Class, Lake Travis High School – Lake Travis ISD, 2011 – 2015. </w:t>
      </w:r>
      <w:r>
        <w:t>Maintain</w:t>
      </w:r>
      <w:r>
        <w:t>ed class webpage, o</w:t>
      </w:r>
      <w:r>
        <w:t>rganize</w:t>
      </w:r>
      <w:r>
        <w:t>d</w:t>
      </w:r>
      <w:r>
        <w:t xml:space="preserve"> and chap</w:t>
      </w:r>
      <w:r>
        <w:t>eroned annual senior class trip, and c</w:t>
      </w:r>
      <w:r>
        <w:t>oordinate</w:t>
      </w:r>
      <w:r>
        <w:t>d</w:t>
      </w:r>
      <w:r>
        <w:t xml:space="preserve"> with administration to facilitate </w:t>
      </w:r>
      <w:r>
        <w:t xml:space="preserve">the </w:t>
      </w:r>
      <w:r>
        <w:t>graduation ceremony</w:t>
      </w:r>
      <w:r>
        <w:t>.</w:t>
      </w:r>
    </w:p>
    <w:p w14:paraId="2158BD5A" w14:textId="77777777" w:rsidR="002F42DB" w:rsidRDefault="002F42DB">
      <w:pPr>
        <w:tabs>
          <w:tab w:val="left" w:pos="5040"/>
        </w:tabs>
        <w:ind w:left="720" w:hanging="720"/>
      </w:pPr>
    </w:p>
    <w:p w14:paraId="7F268B3F" w14:textId="56A187CE" w:rsidR="002F42DB" w:rsidRPr="00BB0017" w:rsidRDefault="006446E6">
      <w:pPr>
        <w:tabs>
          <w:tab w:val="left" w:pos="5040"/>
        </w:tabs>
        <w:ind w:left="720" w:hanging="720"/>
        <w:rPr>
          <w:b/>
        </w:rPr>
      </w:pPr>
      <w:r w:rsidRPr="00BB0017">
        <w:rPr>
          <w:b/>
        </w:rPr>
        <w:t>Organization Memberships:</w:t>
      </w:r>
    </w:p>
    <w:p w14:paraId="0DE3CFD1" w14:textId="015C9D5E" w:rsidR="00BB0017" w:rsidRDefault="00BB0017">
      <w:pPr>
        <w:tabs>
          <w:tab w:val="left" w:pos="5040"/>
        </w:tabs>
        <w:ind w:left="720" w:hanging="720"/>
      </w:pPr>
      <w:r>
        <w:t>Member, Sigma Tau Delta – Texas State Chapter</w:t>
      </w:r>
    </w:p>
    <w:p w14:paraId="04B8EF58" w14:textId="77777777" w:rsidR="002F42DB" w:rsidRDefault="002F42DB">
      <w:pPr>
        <w:tabs>
          <w:tab w:val="left" w:pos="5040"/>
        </w:tabs>
        <w:ind w:left="720" w:hanging="720"/>
      </w:pPr>
    </w:p>
    <w:p w14:paraId="6B61A5D0" w14:textId="77777777" w:rsidR="006446E6" w:rsidRDefault="006446E6">
      <w:pPr>
        <w:rPr>
          <w:rFonts w:ascii="Arial" w:hAnsi="Arial" w:cs="Arial"/>
          <w:sz w:val="20"/>
          <w:szCs w:val="20"/>
        </w:rPr>
      </w:pPr>
    </w:p>
    <w:sectPr w:rsidR="00644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DA8B" w14:textId="77777777" w:rsidR="007126C6" w:rsidRDefault="007126C6">
      <w:r>
        <w:separator/>
      </w:r>
    </w:p>
  </w:endnote>
  <w:endnote w:type="continuationSeparator" w:id="0">
    <w:p w14:paraId="15D8B5AD" w14:textId="77777777" w:rsidR="007126C6" w:rsidRDefault="0071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148A" w14:textId="77777777" w:rsidR="0018468B" w:rsidRDefault="00184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2B7A2" w14:textId="77777777" w:rsidR="002F42DB" w:rsidRDefault="006446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41078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 w:rsidR="0041078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2CE0" w14:textId="77777777" w:rsidR="0018468B" w:rsidRDefault="00184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7A3A" w14:textId="77777777" w:rsidR="007126C6" w:rsidRDefault="007126C6">
      <w:r>
        <w:separator/>
      </w:r>
    </w:p>
  </w:footnote>
  <w:footnote w:type="continuationSeparator" w:id="0">
    <w:p w14:paraId="13AC3744" w14:textId="77777777" w:rsidR="007126C6" w:rsidRDefault="0071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B714" w14:textId="77777777" w:rsidR="0018468B" w:rsidRDefault="00184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4492" w14:textId="77777777" w:rsidR="0018468B" w:rsidRDefault="0018468B" w:rsidP="0018468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AA/PPS No. 04.02.20 – Form 1A</w:t>
    </w:r>
  </w:p>
  <w:p w14:paraId="42CD5793" w14:textId="77777777" w:rsidR="002F42DB" w:rsidRPr="0018468B" w:rsidRDefault="002F42DB" w:rsidP="00184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3C2E" w14:textId="77777777" w:rsidR="0018468B" w:rsidRDefault="00184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C7"/>
    <w:rsid w:val="000E6A23"/>
    <w:rsid w:val="00112AB3"/>
    <w:rsid w:val="0018468B"/>
    <w:rsid w:val="002C76EE"/>
    <w:rsid w:val="002F42DB"/>
    <w:rsid w:val="0041078F"/>
    <w:rsid w:val="00624CC7"/>
    <w:rsid w:val="006446E6"/>
    <w:rsid w:val="007126C6"/>
    <w:rsid w:val="00737D11"/>
    <w:rsid w:val="0087557A"/>
    <w:rsid w:val="00A546BF"/>
    <w:rsid w:val="00BB0017"/>
    <w:rsid w:val="00CF70C0"/>
    <w:rsid w:val="00D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5A1E8"/>
  <w14:defaultImageDpi w14:val="0"/>
  <w15:docId w15:val="{A132A112-2F2B-407A-97BD-70A7046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Hillary Reyes</cp:lastModifiedBy>
  <cp:revision>3</cp:revision>
  <dcterms:created xsi:type="dcterms:W3CDTF">2019-06-17T18:40:00Z</dcterms:created>
  <dcterms:modified xsi:type="dcterms:W3CDTF">2019-06-17T18:53:00Z</dcterms:modified>
</cp:coreProperties>
</file>