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5DCF" w:rsidRPr="00FC3C3B" w:rsidRDefault="0007663C" w:rsidP="007675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OFFICIAL</w:t>
      </w:r>
    </w:p>
    <w:p w:rsidR="00A83E06" w:rsidRDefault="00A83E06" w:rsidP="00A83E06">
      <w:pPr>
        <w:rPr>
          <w:rFonts w:ascii="Arial" w:hAnsi="Arial" w:cs="Arial"/>
          <w:b/>
          <w:bCs/>
          <w:color w:val="000000"/>
        </w:rPr>
      </w:pPr>
    </w:p>
    <w:p w:rsidR="00A83E06" w:rsidRPr="00365613" w:rsidRDefault="00A83E06" w:rsidP="00A83E06">
      <w:pPr>
        <w:rPr>
          <w:rFonts w:ascii="Arial" w:hAnsi="Arial" w:cs="Arial"/>
          <w:bCs/>
          <w:color w:val="000000"/>
        </w:rPr>
      </w:pPr>
      <w:r w:rsidRPr="00365613">
        <w:rPr>
          <w:rFonts w:ascii="Arial" w:hAnsi="Arial" w:cs="Arial"/>
          <w:bCs/>
          <w:color w:val="000000"/>
        </w:rPr>
        <w:t>Policy and Procedure Statement 8.0</w:t>
      </w:r>
      <w:r w:rsidR="00EA76F0">
        <w:rPr>
          <w:rFonts w:ascii="Arial" w:hAnsi="Arial" w:cs="Arial"/>
          <w:bCs/>
          <w:color w:val="000000"/>
        </w:rPr>
        <w:t>8</w:t>
      </w:r>
      <w:r w:rsidRPr="00365613">
        <w:rPr>
          <w:rFonts w:ascii="Arial" w:hAnsi="Arial" w:cs="Arial"/>
          <w:bCs/>
          <w:color w:val="000000"/>
        </w:rPr>
        <w:t xml:space="preserve"> </w:t>
      </w:r>
      <w:r w:rsidRPr="00365613">
        <w:rPr>
          <w:rFonts w:ascii="Arial" w:hAnsi="Arial" w:cs="Arial"/>
          <w:bCs/>
          <w:color w:val="000000"/>
        </w:rPr>
        <w:tab/>
      </w:r>
      <w:r w:rsidRPr="00365613">
        <w:rPr>
          <w:rFonts w:ascii="Arial" w:hAnsi="Arial" w:cs="Arial"/>
          <w:bCs/>
          <w:color w:val="000000"/>
        </w:rPr>
        <w:tab/>
      </w:r>
      <w:r w:rsidRPr="00365613">
        <w:rPr>
          <w:rFonts w:ascii="Arial" w:hAnsi="Arial" w:cs="Arial"/>
          <w:bCs/>
          <w:color w:val="000000"/>
        </w:rPr>
        <w:tab/>
      </w:r>
      <w:r w:rsidRPr="00365613">
        <w:rPr>
          <w:rFonts w:ascii="Arial" w:hAnsi="Arial" w:cs="Arial"/>
          <w:bCs/>
          <w:color w:val="000000"/>
        </w:rPr>
        <w:tab/>
        <w:t xml:space="preserve">Faculty Grievance Policy </w:t>
      </w:r>
    </w:p>
    <w:p w:rsidR="00A64417" w:rsidRDefault="00A64417" w:rsidP="00A83E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Review Cycle: April 1, EY</w:t>
      </w:r>
      <w:r w:rsidR="00FE0A1D">
        <w:rPr>
          <w:rFonts w:ascii="Arial" w:hAnsi="Arial" w:cs="Arial"/>
          <w:color w:val="000000"/>
        </w:rPr>
        <w:tab/>
      </w:r>
      <w:r w:rsidR="00FE0A1D">
        <w:rPr>
          <w:rFonts w:ascii="Arial" w:hAnsi="Arial" w:cs="Arial"/>
          <w:color w:val="000000"/>
        </w:rPr>
        <w:tab/>
      </w:r>
      <w:r w:rsidR="00FE0A1D">
        <w:rPr>
          <w:rFonts w:ascii="Arial" w:hAnsi="Arial" w:cs="Arial"/>
          <w:color w:val="000000"/>
        </w:rPr>
        <w:tab/>
      </w:r>
      <w:r w:rsidR="00FE0A1D">
        <w:rPr>
          <w:rFonts w:ascii="Arial" w:hAnsi="Arial" w:cs="Arial"/>
          <w:color w:val="000000"/>
        </w:rPr>
        <w:tab/>
      </w:r>
      <w:r w:rsidR="00FE0A1D">
        <w:rPr>
          <w:rFonts w:ascii="Arial" w:hAnsi="Arial" w:cs="Arial"/>
          <w:color w:val="000000"/>
        </w:rPr>
        <w:tab/>
      </w:r>
      <w:r w:rsidR="00FE0A1D">
        <w:rPr>
          <w:rFonts w:ascii="Arial" w:hAnsi="Arial" w:cs="Arial"/>
          <w:color w:val="000000"/>
        </w:rPr>
        <w:tab/>
      </w:r>
      <w:r w:rsidR="005537D4">
        <w:rPr>
          <w:rFonts w:ascii="Arial" w:hAnsi="Arial" w:cs="Arial"/>
          <w:color w:val="000000"/>
        </w:rPr>
        <w:t>(10</w:t>
      </w:r>
      <w:r w:rsidR="00FE0A1D">
        <w:rPr>
          <w:rFonts w:ascii="Arial" w:hAnsi="Arial" w:cs="Arial"/>
          <w:color w:val="000000"/>
        </w:rPr>
        <w:t xml:space="preserve"> </w:t>
      </w:r>
      <w:r w:rsidR="00A83E06">
        <w:rPr>
          <w:rFonts w:ascii="Arial" w:hAnsi="Arial" w:cs="Arial"/>
          <w:color w:val="000000"/>
        </w:rPr>
        <w:t xml:space="preserve">Paragraphs) </w:t>
      </w:r>
    </w:p>
    <w:p w:rsidR="00A64417" w:rsidRDefault="00A64417" w:rsidP="00A644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Review Date:  </w:t>
      </w:r>
      <w:r w:rsidR="0007663C">
        <w:rPr>
          <w:rFonts w:ascii="Arial" w:hAnsi="Arial" w:cs="Arial"/>
          <w:color w:val="000000"/>
        </w:rPr>
        <w:t>April 1, 2017</w:t>
      </w:r>
      <w:r w:rsidR="00211D04">
        <w:rPr>
          <w:rFonts w:ascii="Arial" w:hAnsi="Arial" w:cs="Arial"/>
          <w:color w:val="000000"/>
        </w:rPr>
        <w:tab/>
      </w:r>
      <w:r w:rsidR="00211D04">
        <w:rPr>
          <w:rFonts w:ascii="Arial" w:hAnsi="Arial" w:cs="Arial"/>
          <w:color w:val="000000"/>
        </w:rPr>
        <w:tab/>
      </w:r>
      <w:r w:rsidR="00211D04">
        <w:rPr>
          <w:rFonts w:ascii="Arial" w:hAnsi="Arial" w:cs="Arial"/>
          <w:color w:val="000000"/>
        </w:rPr>
        <w:tab/>
      </w:r>
      <w:r w:rsidR="00211D04">
        <w:rPr>
          <w:rFonts w:ascii="Arial" w:hAnsi="Arial" w:cs="Arial"/>
          <w:color w:val="000000"/>
        </w:rPr>
        <w:tab/>
      </w:r>
      <w:r w:rsidR="00211D04">
        <w:rPr>
          <w:rFonts w:ascii="Arial" w:hAnsi="Arial" w:cs="Arial"/>
          <w:color w:val="000000"/>
        </w:rPr>
        <w:tab/>
        <w:t xml:space="preserve"> </w:t>
      </w:r>
    </w:p>
    <w:p w:rsidR="00A83E06" w:rsidRDefault="00A64417" w:rsidP="00A6441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Reviewer: Provost</w:t>
      </w:r>
      <w:r w:rsidR="00211D04" w:rsidRPr="00211D04">
        <w:rPr>
          <w:rFonts w:ascii="Arial" w:hAnsi="Arial" w:cs="Arial"/>
          <w:color w:val="000000"/>
        </w:rPr>
        <w:t xml:space="preserve"> </w:t>
      </w:r>
      <w:r w:rsidR="00211D04">
        <w:rPr>
          <w:rFonts w:ascii="Arial" w:hAnsi="Arial" w:cs="Arial"/>
          <w:color w:val="000000"/>
        </w:rPr>
        <w:tab/>
      </w:r>
      <w:r w:rsidR="00211D04">
        <w:rPr>
          <w:rFonts w:ascii="Arial" w:hAnsi="Arial" w:cs="Arial"/>
          <w:color w:val="000000"/>
        </w:rPr>
        <w:tab/>
      </w:r>
      <w:r w:rsidR="00211D04">
        <w:rPr>
          <w:rFonts w:ascii="Arial" w:hAnsi="Arial" w:cs="Arial"/>
          <w:color w:val="000000"/>
        </w:rPr>
        <w:tab/>
      </w:r>
      <w:r w:rsidR="00211D04">
        <w:rPr>
          <w:rFonts w:ascii="Arial" w:hAnsi="Arial" w:cs="Arial"/>
          <w:color w:val="000000"/>
        </w:rPr>
        <w:tab/>
      </w:r>
      <w:r w:rsidR="00211D04">
        <w:rPr>
          <w:rFonts w:ascii="Arial" w:hAnsi="Arial" w:cs="Arial"/>
          <w:color w:val="000000"/>
        </w:rPr>
        <w:tab/>
      </w:r>
      <w:r w:rsidR="00211D04">
        <w:rPr>
          <w:rFonts w:ascii="Arial" w:hAnsi="Arial" w:cs="Arial"/>
          <w:color w:val="000000"/>
        </w:rPr>
        <w:tab/>
      </w:r>
      <w:r w:rsidR="00211D04">
        <w:rPr>
          <w:rFonts w:ascii="Arial" w:hAnsi="Arial" w:cs="Arial"/>
          <w:color w:val="000000"/>
        </w:rPr>
        <w:tab/>
      </w:r>
      <w:hyperlink r:id="rId6" w:history="1">
        <w:r w:rsidR="00211D04" w:rsidRPr="00211D04">
          <w:rPr>
            <w:rStyle w:val="Hyperlink"/>
            <w:rFonts w:ascii="Arial" w:hAnsi="Arial" w:cs="Arial"/>
          </w:rPr>
          <w:t>Attachment A</w:t>
        </w:r>
      </w:hyperlink>
    </w:p>
    <w:p w:rsidR="00A83E06" w:rsidRPr="00B45456" w:rsidRDefault="00211D04" w:rsidP="00A64417">
      <w:pPr>
        <w:jc w:val="center"/>
        <w:rPr>
          <w:color w:val="548DD4"/>
        </w:rPr>
      </w:pPr>
      <w:r>
        <w:rPr>
          <w:color w:val="548DD4"/>
        </w:rPr>
        <w:tab/>
      </w:r>
    </w:p>
    <w:p w:rsidR="00A83E06" w:rsidRDefault="00A83E06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PURPOSE</w:t>
      </w:r>
    </w:p>
    <w:p w:rsidR="0048059F" w:rsidRDefault="00A83E06" w:rsidP="004E165E">
      <w:pPr>
        <w:numPr>
          <w:ilvl w:val="0"/>
          <w:numId w:val="1"/>
        </w:numPr>
        <w:spacing w:before="100" w:beforeAutospacing="1" w:after="240"/>
        <w:rPr>
          <w:rStyle w:val="style81"/>
          <w:color w:val="000000"/>
        </w:rPr>
      </w:pPr>
      <w:r>
        <w:rPr>
          <w:rStyle w:val="style81"/>
          <w:color w:val="000000"/>
        </w:rPr>
        <w:t xml:space="preserve">Section </w:t>
      </w:r>
      <w:r w:rsidR="00EA76F0">
        <w:rPr>
          <w:rStyle w:val="style81"/>
          <w:color w:val="000000"/>
        </w:rPr>
        <w:t>2.15</w:t>
      </w:r>
      <w:r>
        <w:rPr>
          <w:rStyle w:val="style81"/>
          <w:color w:val="000000"/>
        </w:rPr>
        <w:t xml:space="preserve"> of Chapter V of the Regents' Rules </w:t>
      </w:r>
      <w:r w:rsidR="000B413F">
        <w:rPr>
          <w:rStyle w:val="style81"/>
          <w:color w:val="000000"/>
        </w:rPr>
        <w:t>entitles</w:t>
      </w:r>
      <w:r>
        <w:rPr>
          <w:rStyle w:val="style81"/>
          <w:color w:val="000000"/>
        </w:rPr>
        <w:t xml:space="preserve"> </w:t>
      </w:r>
      <w:r w:rsidR="00EA76F0">
        <w:rPr>
          <w:rStyle w:val="style81"/>
          <w:color w:val="000000"/>
        </w:rPr>
        <w:t xml:space="preserve">every TSUS employee </w:t>
      </w:r>
      <w:r w:rsidR="00AF1C05">
        <w:rPr>
          <w:rStyle w:val="style81"/>
          <w:color w:val="000000"/>
        </w:rPr>
        <w:t xml:space="preserve">to present a grievance </w:t>
      </w:r>
      <w:r>
        <w:rPr>
          <w:rStyle w:val="style81"/>
          <w:color w:val="000000"/>
        </w:rPr>
        <w:t xml:space="preserve">to </w:t>
      </w:r>
      <w:r w:rsidR="00EA76F0">
        <w:rPr>
          <w:rStyle w:val="style81"/>
          <w:color w:val="000000"/>
        </w:rPr>
        <w:t xml:space="preserve">a hearing officer designated by </w:t>
      </w:r>
      <w:r>
        <w:rPr>
          <w:rStyle w:val="style81"/>
          <w:color w:val="000000"/>
        </w:rPr>
        <w:t xml:space="preserve">the </w:t>
      </w:r>
      <w:r w:rsidR="00C10783">
        <w:rPr>
          <w:rStyle w:val="style81"/>
          <w:color w:val="000000"/>
        </w:rPr>
        <w:t xml:space="preserve">university </w:t>
      </w:r>
      <w:r w:rsidR="00EA76F0">
        <w:rPr>
          <w:rStyle w:val="style81"/>
          <w:color w:val="000000"/>
        </w:rPr>
        <w:t>p</w:t>
      </w:r>
      <w:r>
        <w:rPr>
          <w:rStyle w:val="style81"/>
          <w:color w:val="000000"/>
        </w:rPr>
        <w:t xml:space="preserve">resident on an issue related to </w:t>
      </w:r>
      <w:r w:rsidR="000B413F">
        <w:rPr>
          <w:rStyle w:val="style81"/>
          <w:color w:val="000000"/>
        </w:rPr>
        <w:t xml:space="preserve">his or her </w:t>
      </w:r>
      <w:r>
        <w:rPr>
          <w:rStyle w:val="style81"/>
          <w:color w:val="000000"/>
        </w:rPr>
        <w:t xml:space="preserve">wages, hours of </w:t>
      </w:r>
      <w:r w:rsidR="00EA76F0">
        <w:rPr>
          <w:rStyle w:val="style81"/>
          <w:color w:val="000000"/>
        </w:rPr>
        <w:t>work</w:t>
      </w:r>
      <w:r>
        <w:rPr>
          <w:rStyle w:val="style81"/>
          <w:color w:val="000000"/>
        </w:rPr>
        <w:t xml:space="preserve">, </w:t>
      </w:r>
      <w:r w:rsidR="00EA76F0">
        <w:rPr>
          <w:rStyle w:val="style81"/>
          <w:color w:val="000000"/>
        </w:rPr>
        <w:t xml:space="preserve">or </w:t>
      </w:r>
      <w:r>
        <w:rPr>
          <w:rStyle w:val="style81"/>
          <w:color w:val="000000"/>
        </w:rPr>
        <w:t>conditions of work</w:t>
      </w:r>
      <w:r w:rsidR="0048059F">
        <w:rPr>
          <w:rStyle w:val="style81"/>
          <w:color w:val="000000"/>
        </w:rPr>
        <w:t>.</w:t>
      </w:r>
      <w:r>
        <w:rPr>
          <w:rStyle w:val="style81"/>
          <w:color w:val="000000"/>
        </w:rPr>
        <w:t xml:space="preserve"> </w:t>
      </w:r>
    </w:p>
    <w:p w:rsidR="00A64417" w:rsidRDefault="0048059F" w:rsidP="00C10783">
      <w:pPr>
        <w:numPr>
          <w:ilvl w:val="0"/>
          <w:numId w:val="1"/>
        </w:numPr>
        <w:spacing w:before="100" w:beforeAutospacing="1" w:after="240"/>
        <w:rPr>
          <w:rStyle w:val="style81"/>
          <w:color w:val="000000"/>
        </w:rPr>
      </w:pPr>
      <w:r>
        <w:rPr>
          <w:rStyle w:val="style81"/>
          <w:color w:val="000000"/>
        </w:rPr>
        <w:t xml:space="preserve">Section 4.4 of Chapter V of the Regent’s Rules permits a faculty member to </w:t>
      </w:r>
      <w:r w:rsidR="00191A0E">
        <w:rPr>
          <w:rStyle w:val="style81"/>
          <w:color w:val="000000"/>
        </w:rPr>
        <w:t>file</w:t>
      </w:r>
      <w:r>
        <w:rPr>
          <w:rStyle w:val="style81"/>
          <w:color w:val="000000"/>
        </w:rPr>
        <w:t xml:space="preserve"> a grievance </w:t>
      </w:r>
      <w:r w:rsidR="00191A0E">
        <w:rPr>
          <w:rStyle w:val="style81"/>
          <w:color w:val="000000"/>
        </w:rPr>
        <w:t>with the</w:t>
      </w:r>
      <w:r>
        <w:rPr>
          <w:rStyle w:val="style81"/>
          <w:color w:val="000000"/>
        </w:rPr>
        <w:t xml:space="preserve"> president on an issue related to the non-renewal or termination of </w:t>
      </w:r>
      <w:r w:rsidR="0025769E">
        <w:rPr>
          <w:rStyle w:val="style81"/>
          <w:color w:val="000000"/>
        </w:rPr>
        <w:t xml:space="preserve">the faculty member’s </w:t>
      </w:r>
      <w:r>
        <w:rPr>
          <w:rStyle w:val="style81"/>
          <w:color w:val="000000"/>
        </w:rPr>
        <w:t xml:space="preserve">contract at the end of the </w:t>
      </w:r>
      <w:r w:rsidR="0025769E">
        <w:rPr>
          <w:rStyle w:val="style81"/>
          <w:color w:val="000000"/>
        </w:rPr>
        <w:t>employment</w:t>
      </w:r>
      <w:r>
        <w:rPr>
          <w:rStyle w:val="style81"/>
          <w:color w:val="000000"/>
        </w:rPr>
        <w:t xml:space="preserve"> period.</w:t>
      </w:r>
      <w:r w:rsidR="00D92402">
        <w:rPr>
          <w:rStyle w:val="style81"/>
          <w:color w:val="000000"/>
        </w:rPr>
        <w:t xml:space="preserve">  </w:t>
      </w:r>
      <w:r w:rsidR="00C10783">
        <w:rPr>
          <w:rStyle w:val="style81"/>
          <w:color w:val="000000"/>
        </w:rPr>
        <w:t>(A grievance under this paragraph is not a due process hearing that would require the formalities specified in Chapter V, section 4.5.)</w:t>
      </w:r>
    </w:p>
    <w:p w:rsidR="009264EE" w:rsidRPr="00C10783" w:rsidRDefault="009264EE" w:rsidP="00C10783">
      <w:pPr>
        <w:numPr>
          <w:ilvl w:val="0"/>
          <w:numId w:val="1"/>
        </w:numPr>
        <w:spacing w:before="100" w:beforeAutospacing="1" w:after="240"/>
        <w:rPr>
          <w:rStyle w:val="style81"/>
          <w:color w:val="000000"/>
        </w:rPr>
      </w:pPr>
      <w:r>
        <w:rPr>
          <w:rStyle w:val="style81"/>
          <w:color w:val="000000"/>
        </w:rPr>
        <w:t xml:space="preserve">Section 13 of Appendix A-6 of the Regent’s Rules provides that, in some circumstances, an appeal under the Texas State University System Sexual Misconduct Policy and Procedures, will be processed under PPS 8.08. </w:t>
      </w:r>
    </w:p>
    <w:p w:rsidR="00A64417" w:rsidRPr="00A64417" w:rsidRDefault="00A83E06" w:rsidP="00365613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64417">
        <w:rPr>
          <w:rFonts w:ascii="Arial" w:hAnsi="Arial" w:cs="Arial"/>
          <w:color w:val="000000"/>
        </w:rPr>
        <w:t xml:space="preserve">This PPS sets forth procedures for faculty grievances except for the following: </w:t>
      </w:r>
      <w:r w:rsidR="00A64417">
        <w:rPr>
          <w:rFonts w:ascii="Arial" w:hAnsi="Arial" w:cs="Arial"/>
          <w:color w:val="000000"/>
        </w:rPr>
        <w:br/>
      </w:r>
    </w:p>
    <w:p w:rsidR="00A83E06" w:rsidRDefault="00A83E06" w:rsidP="00365613">
      <w:pPr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Discrimination Grievances. </w:t>
      </w:r>
      <w:hyperlink r:id="rId7" w:history="1">
        <w:r>
          <w:rPr>
            <w:rStyle w:val="Hyperlink"/>
            <w:rFonts w:ascii="Arial" w:hAnsi="Arial" w:cs="Arial"/>
          </w:rPr>
          <w:t xml:space="preserve">UPPS 04.04.46 </w:t>
        </w:r>
      </w:hyperlink>
      <w:r>
        <w:rPr>
          <w:rFonts w:ascii="Arial" w:hAnsi="Arial" w:cs="Arial"/>
          <w:color w:val="000000"/>
        </w:rPr>
        <w:t>(</w:t>
      </w:r>
      <w:r w:rsidR="00882BAD" w:rsidRPr="00882BAD">
        <w:rPr>
          <w:rFonts w:ascii="Arial" w:hAnsi="Arial" w:cs="Arial"/>
          <w:bCs/>
        </w:rPr>
        <w:t>Prohibition of Discrimination or Harassment</w:t>
      </w:r>
      <w:r w:rsidR="00882BAD" w:rsidRPr="00882BAD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contains procedures for complaints of racial harassment and illegal discrimination on the basis of race, color, national origin, a</w:t>
      </w:r>
      <w:r w:rsidR="00F7718F">
        <w:rPr>
          <w:rFonts w:ascii="Arial" w:hAnsi="Arial" w:cs="Arial"/>
          <w:color w:val="000000"/>
        </w:rPr>
        <w:t xml:space="preserve">ge, religion, sex, </w:t>
      </w:r>
      <w:r>
        <w:rPr>
          <w:rFonts w:ascii="Arial" w:hAnsi="Arial" w:cs="Arial"/>
          <w:color w:val="000000"/>
        </w:rPr>
        <w:t>disability</w:t>
      </w:r>
      <w:r w:rsidR="00F7718F">
        <w:rPr>
          <w:rFonts w:ascii="Arial" w:hAnsi="Arial" w:cs="Arial"/>
          <w:color w:val="000000"/>
        </w:rPr>
        <w:t>, veteran’s status or se</w:t>
      </w:r>
      <w:r w:rsidR="00920BAE">
        <w:rPr>
          <w:rFonts w:ascii="Arial" w:hAnsi="Arial" w:cs="Arial"/>
          <w:color w:val="000000"/>
        </w:rPr>
        <w:t>xual orientation</w:t>
      </w:r>
      <w:r>
        <w:rPr>
          <w:rFonts w:ascii="Arial" w:hAnsi="Arial" w:cs="Arial"/>
          <w:color w:val="000000"/>
        </w:rPr>
        <w:t xml:space="preserve">. </w:t>
      </w:r>
      <w:r w:rsidR="00A64417">
        <w:rPr>
          <w:rFonts w:ascii="Arial" w:hAnsi="Arial" w:cs="Arial"/>
          <w:color w:val="000000"/>
        </w:rPr>
        <w:br/>
      </w:r>
    </w:p>
    <w:p w:rsidR="00A83E06" w:rsidRDefault="00A83E06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Procedures Involving Due Process. Procedures for due process in terminating (1) tenured faculty members; and (</w:t>
      </w:r>
      <w:r w:rsidR="006468F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) faculty under special circumstances</w:t>
      </w:r>
      <w:r w:rsidR="00D42BED">
        <w:rPr>
          <w:rFonts w:ascii="Arial" w:hAnsi="Arial" w:cs="Arial"/>
          <w:color w:val="000000"/>
        </w:rPr>
        <w:t>, including cases of termination of tenured faculty prior to the end of the contract period,</w:t>
      </w:r>
      <w:r>
        <w:rPr>
          <w:rFonts w:ascii="Arial" w:hAnsi="Arial" w:cs="Arial"/>
          <w:color w:val="000000"/>
        </w:rPr>
        <w:t xml:space="preserve"> are contained in Sections 4.5 </w:t>
      </w:r>
      <w:r w:rsidR="006468F0">
        <w:rPr>
          <w:rFonts w:ascii="Arial" w:hAnsi="Arial" w:cs="Arial"/>
          <w:color w:val="000000"/>
        </w:rPr>
        <w:t xml:space="preserve">(Termination </w:t>
      </w:r>
      <w:r w:rsidR="008E3B2E">
        <w:rPr>
          <w:rFonts w:ascii="Arial" w:hAnsi="Arial" w:cs="Arial"/>
          <w:color w:val="000000"/>
        </w:rPr>
        <w:t xml:space="preserve">for </w:t>
      </w:r>
      <w:r w:rsidR="006468F0">
        <w:rPr>
          <w:rFonts w:ascii="Arial" w:hAnsi="Arial" w:cs="Arial"/>
          <w:color w:val="000000"/>
        </w:rPr>
        <w:t>Good Cause</w:t>
      </w:r>
      <w:r w:rsidR="00FA1B91">
        <w:rPr>
          <w:rFonts w:ascii="Arial" w:hAnsi="Arial" w:cs="Arial"/>
          <w:color w:val="000000"/>
        </w:rPr>
        <w:t>)</w:t>
      </w:r>
      <w:r w:rsidR="006468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4.6</w:t>
      </w:r>
      <w:r w:rsidR="00612B11">
        <w:rPr>
          <w:rFonts w:ascii="Arial" w:hAnsi="Arial" w:cs="Arial"/>
          <w:color w:val="000000"/>
        </w:rPr>
        <w:t xml:space="preserve"> </w:t>
      </w:r>
      <w:r w:rsidR="006468F0">
        <w:rPr>
          <w:rFonts w:ascii="Arial" w:hAnsi="Arial" w:cs="Arial"/>
          <w:color w:val="000000"/>
        </w:rPr>
        <w:t>(Termination for Special Circumstances)</w:t>
      </w:r>
      <w:r>
        <w:rPr>
          <w:rFonts w:ascii="Arial" w:hAnsi="Arial" w:cs="Arial"/>
          <w:color w:val="000000"/>
        </w:rPr>
        <w:t xml:space="preserve"> of Chapter V of the Regents' Rules. </w:t>
      </w:r>
      <w:r w:rsidR="000B413F">
        <w:rPr>
          <w:rFonts w:ascii="Arial" w:hAnsi="Arial" w:cs="Arial"/>
          <w:color w:val="000000"/>
        </w:rPr>
        <w:t xml:space="preserve">In all such termination cases where the facts are in dispute, the president will appoint a special hearing tribunal composed of faculty whose rank is equal to, or higher than, that of the accused faculty member. </w:t>
      </w:r>
    </w:p>
    <w:p w:rsidR="00A83E06" w:rsidRDefault="00A83E06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DEFINITIONS</w:t>
      </w:r>
    </w:p>
    <w:p w:rsidR="00365613" w:rsidRPr="00365613" w:rsidRDefault="00A83E06" w:rsidP="004E165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this PPS</w:t>
      </w:r>
      <w:r w:rsidR="00FE0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following terms have the definitions set forth. </w:t>
      </w:r>
      <w:r w:rsidR="00A64417">
        <w:rPr>
          <w:rFonts w:ascii="Arial" w:hAnsi="Arial" w:cs="Arial"/>
          <w:color w:val="000000"/>
        </w:rPr>
        <w:br/>
      </w:r>
    </w:p>
    <w:p w:rsidR="009A7869" w:rsidRDefault="00A83E06" w:rsidP="004E165E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Faculty </w:t>
      </w:r>
      <w:r w:rsidR="00223244">
        <w:rPr>
          <w:rFonts w:ascii="Arial" w:hAnsi="Arial" w:cs="Arial"/>
          <w:color w:val="000000"/>
        </w:rPr>
        <w:t>Member:</w:t>
      </w:r>
      <w:r>
        <w:rPr>
          <w:rFonts w:ascii="Arial" w:hAnsi="Arial" w:cs="Arial"/>
          <w:color w:val="000000"/>
        </w:rPr>
        <w:t xml:space="preserve"> a person employed full-time </w:t>
      </w:r>
      <w:r w:rsidR="000A142E">
        <w:rPr>
          <w:rFonts w:ascii="Arial" w:hAnsi="Arial" w:cs="Arial"/>
          <w:color w:val="000000"/>
        </w:rPr>
        <w:t xml:space="preserve">or part-time </w:t>
      </w:r>
      <w:r>
        <w:rPr>
          <w:rFonts w:ascii="Arial" w:hAnsi="Arial" w:cs="Arial"/>
          <w:color w:val="000000"/>
        </w:rPr>
        <w:t>by Texas State, including professional librarians, whose duties include teaching, research, administration, or the performance of professional services. It does not include department chairs</w:t>
      </w:r>
      <w:r w:rsidR="00882BAD">
        <w:rPr>
          <w:rFonts w:ascii="Arial" w:hAnsi="Arial" w:cs="Arial"/>
          <w:color w:val="000000"/>
        </w:rPr>
        <w:t>/school directors,</w:t>
      </w:r>
      <w:r>
        <w:rPr>
          <w:rFonts w:ascii="Arial" w:hAnsi="Arial" w:cs="Arial"/>
          <w:color w:val="000000"/>
        </w:rPr>
        <w:t xml:space="preserve"> or a person who holds faculty rank but spends the majority of his or her time engaged in managerial or supervisory services</w:t>
      </w:r>
      <w:r w:rsidR="00EA76F0">
        <w:rPr>
          <w:rFonts w:ascii="Arial" w:hAnsi="Arial" w:cs="Arial"/>
          <w:color w:val="000000"/>
        </w:rPr>
        <w:t xml:space="preserve"> including dean</w:t>
      </w:r>
      <w:r w:rsidR="005B64E3">
        <w:rPr>
          <w:rFonts w:ascii="Arial" w:hAnsi="Arial" w:cs="Arial"/>
          <w:color w:val="000000"/>
        </w:rPr>
        <w:t>s</w:t>
      </w:r>
      <w:r w:rsidR="00EA76F0">
        <w:rPr>
          <w:rFonts w:ascii="Arial" w:hAnsi="Arial" w:cs="Arial"/>
          <w:color w:val="000000"/>
        </w:rPr>
        <w:t>, associate or assistant dean</w:t>
      </w:r>
      <w:r w:rsidR="005B64E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.</w:t>
      </w:r>
    </w:p>
    <w:p w:rsidR="009A7869" w:rsidRDefault="009A786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A83E06" w:rsidRDefault="00A64417" w:rsidP="009A7869">
      <w:pPr>
        <w:spacing w:before="100" w:beforeAutospacing="1" w:after="100" w:afterAutospacing="1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</w:p>
    <w:p w:rsidR="00A83E06" w:rsidRDefault="00223244" w:rsidP="004E165E">
      <w:pPr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Ombudsman:</w:t>
      </w:r>
      <w:r w:rsidR="00A83E06">
        <w:rPr>
          <w:rFonts w:ascii="Arial" w:hAnsi="Arial" w:cs="Arial"/>
          <w:color w:val="000000"/>
        </w:rPr>
        <w:t xml:space="preserve"> a person designated by the </w:t>
      </w:r>
      <w:r w:rsidR="0048059F">
        <w:rPr>
          <w:rFonts w:ascii="Arial" w:hAnsi="Arial" w:cs="Arial"/>
          <w:color w:val="000000"/>
        </w:rPr>
        <w:t>p</w:t>
      </w:r>
      <w:r w:rsidR="00A83E06">
        <w:rPr>
          <w:rFonts w:ascii="Arial" w:hAnsi="Arial" w:cs="Arial"/>
          <w:color w:val="000000"/>
        </w:rPr>
        <w:t xml:space="preserve">resident to help faculty members resolve work-related issues. The </w:t>
      </w:r>
      <w:r w:rsidR="0048059F">
        <w:rPr>
          <w:rFonts w:ascii="Arial" w:hAnsi="Arial" w:cs="Arial"/>
          <w:color w:val="000000"/>
        </w:rPr>
        <w:t>o</w:t>
      </w:r>
      <w:r w:rsidR="00A83E06">
        <w:rPr>
          <w:rFonts w:ascii="Arial" w:hAnsi="Arial" w:cs="Arial"/>
          <w:color w:val="000000"/>
        </w:rPr>
        <w:t xml:space="preserve">mbudsman is neutral, and is not an advocate for either employee or management. The </w:t>
      </w:r>
      <w:r w:rsidR="0048059F">
        <w:rPr>
          <w:rFonts w:ascii="Arial" w:hAnsi="Arial" w:cs="Arial"/>
          <w:color w:val="000000"/>
        </w:rPr>
        <w:t>p</w:t>
      </w:r>
      <w:r w:rsidR="00A83E06">
        <w:rPr>
          <w:rFonts w:ascii="Arial" w:hAnsi="Arial" w:cs="Arial"/>
          <w:color w:val="000000"/>
        </w:rPr>
        <w:t xml:space="preserve">resident will appoint the </w:t>
      </w:r>
      <w:r w:rsidR="0048059F">
        <w:rPr>
          <w:rFonts w:ascii="Arial" w:hAnsi="Arial" w:cs="Arial"/>
          <w:color w:val="000000"/>
        </w:rPr>
        <w:t>o</w:t>
      </w:r>
      <w:r w:rsidR="00A83E06">
        <w:rPr>
          <w:rFonts w:ascii="Arial" w:hAnsi="Arial" w:cs="Arial"/>
          <w:color w:val="000000"/>
        </w:rPr>
        <w:t xml:space="preserve">mbudsman from a list of candidates recommended by a committee composed of three faculty senators (appointed by the </w:t>
      </w:r>
      <w:r w:rsidR="00513337">
        <w:rPr>
          <w:rFonts w:ascii="Arial" w:hAnsi="Arial" w:cs="Arial"/>
          <w:color w:val="000000"/>
        </w:rPr>
        <w:t>c</w:t>
      </w:r>
      <w:r w:rsidR="00A83E06">
        <w:rPr>
          <w:rFonts w:ascii="Arial" w:hAnsi="Arial" w:cs="Arial"/>
          <w:color w:val="000000"/>
        </w:rPr>
        <w:t>hair of the Faculty Senate) and three chairs</w:t>
      </w:r>
      <w:r w:rsidR="00882BAD">
        <w:rPr>
          <w:rFonts w:ascii="Arial" w:hAnsi="Arial" w:cs="Arial"/>
          <w:color w:val="000000"/>
        </w:rPr>
        <w:t>/directors</w:t>
      </w:r>
      <w:r w:rsidR="00A83E06">
        <w:rPr>
          <w:rFonts w:ascii="Arial" w:hAnsi="Arial" w:cs="Arial"/>
          <w:color w:val="000000"/>
        </w:rPr>
        <w:t xml:space="preserve"> or deans (appointed by the </w:t>
      </w:r>
      <w:r w:rsidR="0048059F">
        <w:rPr>
          <w:rFonts w:ascii="Arial" w:hAnsi="Arial" w:cs="Arial"/>
          <w:color w:val="000000"/>
        </w:rPr>
        <w:t>p</w:t>
      </w:r>
      <w:r w:rsidR="00A83E06">
        <w:rPr>
          <w:rFonts w:ascii="Arial" w:hAnsi="Arial" w:cs="Arial"/>
          <w:color w:val="000000"/>
        </w:rPr>
        <w:t xml:space="preserve">rovost). The </w:t>
      </w:r>
      <w:r w:rsidR="0048059F">
        <w:rPr>
          <w:rFonts w:ascii="Arial" w:hAnsi="Arial" w:cs="Arial"/>
          <w:color w:val="000000"/>
        </w:rPr>
        <w:t>o</w:t>
      </w:r>
      <w:r w:rsidR="00A83E06">
        <w:rPr>
          <w:rFonts w:ascii="Arial" w:hAnsi="Arial" w:cs="Arial"/>
          <w:color w:val="000000"/>
        </w:rPr>
        <w:t xml:space="preserve">mbudsman will receive </w:t>
      </w:r>
      <w:r w:rsidR="0091046D">
        <w:rPr>
          <w:rFonts w:ascii="Arial" w:hAnsi="Arial" w:cs="Arial"/>
          <w:color w:val="000000"/>
        </w:rPr>
        <w:t>assigned</w:t>
      </w:r>
      <w:r w:rsidR="00A83E06">
        <w:rPr>
          <w:rFonts w:ascii="Arial" w:hAnsi="Arial" w:cs="Arial"/>
          <w:color w:val="000000"/>
        </w:rPr>
        <w:t xml:space="preserve"> time and serve a three-year term. The </w:t>
      </w:r>
      <w:r w:rsidR="0048059F">
        <w:rPr>
          <w:rFonts w:ascii="Arial" w:hAnsi="Arial" w:cs="Arial"/>
          <w:color w:val="000000"/>
        </w:rPr>
        <w:t>o</w:t>
      </w:r>
      <w:r w:rsidR="00A83E06">
        <w:rPr>
          <w:rFonts w:ascii="Arial" w:hAnsi="Arial" w:cs="Arial"/>
          <w:color w:val="000000"/>
        </w:rPr>
        <w:t>mbudsman will develop procedures to facilitate the timely and equitable adjudication of faculty grievances and, via the Faculty Senate, recommend changes in the policy itself.</w:t>
      </w:r>
    </w:p>
    <w:p w:rsidR="00ED22D5" w:rsidRDefault="00ED22D5" w:rsidP="00762F5A">
      <w:pPr>
        <w:ind w:left="1440"/>
        <w:rPr>
          <w:rFonts w:ascii="Arial" w:hAnsi="Arial" w:cs="Arial"/>
          <w:color w:val="000000"/>
        </w:rPr>
      </w:pPr>
    </w:p>
    <w:p w:rsidR="00A83E06" w:rsidRDefault="00223244" w:rsidP="004E165E">
      <w:pPr>
        <w:numPr>
          <w:ilvl w:val="1"/>
          <w:numId w:val="1"/>
        </w:numPr>
        <w:tabs>
          <w:tab w:val="left" w:pos="16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Administrator:</w:t>
      </w:r>
      <w:r w:rsidR="00A83E06">
        <w:rPr>
          <w:rFonts w:ascii="Arial" w:hAnsi="Arial" w:cs="Arial"/>
          <w:color w:val="000000"/>
        </w:rPr>
        <w:t xml:space="preserve"> </w:t>
      </w:r>
      <w:r w:rsidR="004E165E">
        <w:rPr>
          <w:rFonts w:ascii="Arial" w:hAnsi="Arial" w:cs="Arial"/>
          <w:color w:val="000000"/>
        </w:rPr>
        <w:t>a</w:t>
      </w:r>
      <w:r w:rsidR="00A83E06">
        <w:rPr>
          <w:rFonts w:ascii="Arial" w:hAnsi="Arial" w:cs="Arial"/>
          <w:color w:val="000000"/>
        </w:rPr>
        <w:t xml:space="preserve"> member of Texas State's administration. The term includes vice presidents, deans, </w:t>
      </w:r>
      <w:r w:rsidR="00674BEE">
        <w:rPr>
          <w:rFonts w:ascii="Arial" w:hAnsi="Arial" w:cs="Arial"/>
          <w:color w:val="000000"/>
        </w:rPr>
        <w:t xml:space="preserve">chairs, </w:t>
      </w:r>
      <w:r w:rsidR="00A83E06">
        <w:rPr>
          <w:rFonts w:ascii="Arial" w:hAnsi="Arial" w:cs="Arial"/>
          <w:color w:val="000000"/>
        </w:rPr>
        <w:t xml:space="preserve">and other administrators as determined by the </w:t>
      </w:r>
      <w:r w:rsidR="00FD38C0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resident. </w:t>
      </w:r>
    </w:p>
    <w:p w:rsidR="00AF1C05" w:rsidRDefault="00AF1C05" w:rsidP="00AF1C05">
      <w:pPr>
        <w:pStyle w:val="ListParagraph"/>
        <w:rPr>
          <w:rFonts w:ascii="Arial" w:hAnsi="Arial" w:cs="Arial"/>
          <w:color w:val="000000"/>
        </w:rPr>
      </w:pPr>
    </w:p>
    <w:p w:rsidR="00AF1C05" w:rsidRPr="004E165E" w:rsidRDefault="00AF1C05" w:rsidP="00AF1C05">
      <w:pPr>
        <w:spacing w:before="240" w:after="100" w:afterAutospacing="1"/>
        <w:ind w:left="-18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INFORMAL RESOLUTION</w:t>
      </w:r>
    </w:p>
    <w:p w:rsidR="00AF1C05" w:rsidRPr="00971547" w:rsidRDefault="00AF1C05" w:rsidP="009264EE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yle81"/>
          <w:color w:val="000000"/>
        </w:rPr>
        <w:t xml:space="preserve">Time Frame. In the </w:t>
      </w:r>
      <w:r w:rsidR="00A81DE7">
        <w:rPr>
          <w:rStyle w:val="style81"/>
          <w:color w:val="000000"/>
        </w:rPr>
        <w:t>thirty</w:t>
      </w:r>
      <w:r>
        <w:rPr>
          <w:rStyle w:val="style81"/>
          <w:color w:val="000000"/>
        </w:rPr>
        <w:t xml:space="preserve"> business days allowed before a formal grievance is filed, f</w:t>
      </w:r>
      <w:r w:rsidRPr="005D00E4">
        <w:rPr>
          <w:rStyle w:val="style81"/>
          <w:color w:val="000000"/>
        </w:rPr>
        <w:t xml:space="preserve">aculty members </w:t>
      </w:r>
      <w:r>
        <w:rPr>
          <w:rStyle w:val="style81"/>
          <w:color w:val="000000"/>
        </w:rPr>
        <w:t>should</w:t>
      </w:r>
      <w:r w:rsidRPr="005D00E4">
        <w:rPr>
          <w:rStyle w:val="style81"/>
          <w:color w:val="000000"/>
        </w:rPr>
        <w:t xml:space="preserve"> make good-faith efforts to resolve issues collegially by discussing their concerns with </w:t>
      </w:r>
      <w:r>
        <w:rPr>
          <w:rStyle w:val="style81"/>
          <w:color w:val="000000"/>
        </w:rPr>
        <w:t xml:space="preserve">the ombudsman or with </w:t>
      </w:r>
      <w:r w:rsidRPr="005D00E4">
        <w:rPr>
          <w:rStyle w:val="style81"/>
          <w:color w:val="000000"/>
        </w:rPr>
        <w:t xml:space="preserve">their chair/director and/or dean. </w:t>
      </w:r>
    </w:p>
    <w:p w:rsidR="00A83E06" w:rsidRDefault="0082385C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FORMAL </w:t>
      </w:r>
      <w:r w:rsidR="00A83E06">
        <w:rPr>
          <w:rFonts w:ascii="Arial" w:hAnsi="Arial" w:cs="Arial"/>
          <w:b/>
          <w:bCs/>
          <w:color w:val="000000"/>
        </w:rPr>
        <w:t xml:space="preserve">GRIEVANCE </w:t>
      </w:r>
    </w:p>
    <w:p w:rsidR="00CC4F70" w:rsidRDefault="009264EE" w:rsidP="004E165E">
      <w:pPr>
        <w:spacing w:before="100" w:beforeAutospacing="1" w:after="240"/>
        <w:ind w:left="720" w:hanging="360"/>
        <w:rPr>
          <w:rStyle w:val="style81"/>
          <w:color w:val="000000"/>
        </w:rPr>
      </w:pPr>
      <w:r>
        <w:rPr>
          <w:rStyle w:val="style81"/>
          <w:color w:val="000000"/>
        </w:rPr>
        <w:t>7</w:t>
      </w:r>
      <w:r w:rsidR="00E26D6A">
        <w:rPr>
          <w:rStyle w:val="style81"/>
          <w:color w:val="000000"/>
        </w:rPr>
        <w:t>.</w:t>
      </w:r>
      <w:r w:rsidR="00E26D6A">
        <w:rPr>
          <w:rStyle w:val="style81"/>
          <w:color w:val="000000"/>
        </w:rPr>
        <w:tab/>
      </w:r>
      <w:r w:rsidR="00CC4F70">
        <w:rPr>
          <w:rStyle w:val="style81"/>
          <w:color w:val="000000"/>
        </w:rPr>
        <w:t>The faculty mem</w:t>
      </w:r>
      <w:r w:rsidR="0082385C">
        <w:rPr>
          <w:rStyle w:val="style81"/>
          <w:color w:val="000000"/>
        </w:rPr>
        <w:t>ber</w:t>
      </w:r>
      <w:r w:rsidR="00786AA7">
        <w:rPr>
          <w:rStyle w:val="style81"/>
          <w:color w:val="000000"/>
        </w:rPr>
        <w:t>/grievant</w:t>
      </w:r>
      <w:r w:rsidR="0082385C">
        <w:rPr>
          <w:rStyle w:val="style81"/>
          <w:color w:val="000000"/>
        </w:rPr>
        <w:t xml:space="preserve"> </w:t>
      </w:r>
      <w:r w:rsidR="0025769E">
        <w:rPr>
          <w:rStyle w:val="style81"/>
          <w:color w:val="000000"/>
        </w:rPr>
        <w:t xml:space="preserve">shall </w:t>
      </w:r>
      <w:r w:rsidR="0082385C">
        <w:rPr>
          <w:rStyle w:val="style81"/>
          <w:color w:val="000000"/>
        </w:rPr>
        <w:t>file a formal grievance</w:t>
      </w:r>
      <w:r w:rsidR="00CC4F70">
        <w:rPr>
          <w:rStyle w:val="style81"/>
          <w:color w:val="000000"/>
        </w:rPr>
        <w:t xml:space="preserve"> </w:t>
      </w:r>
      <w:r w:rsidR="0025769E">
        <w:rPr>
          <w:rStyle w:val="style81"/>
          <w:color w:val="000000"/>
        </w:rPr>
        <w:t xml:space="preserve">in person </w:t>
      </w:r>
      <w:r w:rsidR="00786AA7">
        <w:rPr>
          <w:rStyle w:val="style81"/>
          <w:color w:val="000000"/>
        </w:rPr>
        <w:t xml:space="preserve">using the Faculty Grievance </w:t>
      </w:r>
      <w:r w:rsidR="00CC4F70">
        <w:rPr>
          <w:rStyle w:val="style81"/>
          <w:color w:val="000000"/>
        </w:rPr>
        <w:t>form (</w:t>
      </w:r>
      <w:hyperlink r:id="rId8" w:history="1">
        <w:r w:rsidR="00CC4F70" w:rsidRPr="00CA78ED">
          <w:rPr>
            <w:rStyle w:val="Hyperlink"/>
            <w:rFonts w:ascii="Arial" w:hAnsi="Arial" w:cs="Arial"/>
          </w:rPr>
          <w:t>Attachment A</w:t>
        </w:r>
      </w:hyperlink>
      <w:r w:rsidR="00CC4F70">
        <w:rPr>
          <w:rStyle w:val="style81"/>
          <w:color w:val="000000"/>
        </w:rPr>
        <w:t>) and presenting the grievance form and any additional documentation</w:t>
      </w:r>
      <w:r w:rsidR="005B64E3">
        <w:rPr>
          <w:rStyle w:val="style81"/>
          <w:color w:val="000000"/>
        </w:rPr>
        <w:t xml:space="preserve"> </w:t>
      </w:r>
      <w:r w:rsidR="00CC4F70">
        <w:rPr>
          <w:rStyle w:val="style81"/>
          <w:color w:val="000000"/>
        </w:rPr>
        <w:t xml:space="preserve">to the president’s office. </w:t>
      </w:r>
      <w:r w:rsidR="00932BC7">
        <w:rPr>
          <w:rStyle w:val="style81"/>
          <w:color w:val="000000"/>
        </w:rPr>
        <w:t xml:space="preserve">Supplementary documents or evidence can be presented to the hearing officer up to and during the grievance hearing. </w:t>
      </w:r>
    </w:p>
    <w:p w:rsidR="00CC4F70" w:rsidRPr="00A5459E" w:rsidRDefault="00CC4F70" w:rsidP="00932612">
      <w:pPr>
        <w:numPr>
          <w:ilvl w:val="1"/>
          <w:numId w:val="3"/>
        </w:numPr>
        <w:spacing w:before="100" w:beforeAutospacing="1" w:after="120"/>
        <w:rPr>
          <w:rFonts w:ascii="Arial" w:hAnsi="Arial" w:cs="Arial"/>
          <w:color w:val="000000"/>
        </w:rPr>
      </w:pPr>
      <w:r>
        <w:rPr>
          <w:rStyle w:val="style81"/>
          <w:color w:val="000000"/>
        </w:rPr>
        <w:t>Time Limit. The faculty member</w:t>
      </w:r>
      <w:r w:rsidR="00786AA7">
        <w:rPr>
          <w:rStyle w:val="style81"/>
          <w:color w:val="000000"/>
        </w:rPr>
        <w:t>/grievant</w:t>
      </w:r>
      <w:r>
        <w:rPr>
          <w:rStyle w:val="style81"/>
          <w:color w:val="000000"/>
        </w:rPr>
        <w:t xml:space="preserve"> must file the grievance no later than </w:t>
      </w:r>
      <w:r w:rsidR="00A81DE7">
        <w:rPr>
          <w:rStyle w:val="style81"/>
          <w:b/>
          <w:color w:val="000000"/>
        </w:rPr>
        <w:t>3</w:t>
      </w:r>
      <w:r w:rsidRPr="006668E3">
        <w:rPr>
          <w:rStyle w:val="style81"/>
          <w:b/>
          <w:color w:val="000000"/>
        </w:rPr>
        <w:t>0</w:t>
      </w:r>
      <w:r>
        <w:rPr>
          <w:rStyle w:val="style81"/>
          <w:color w:val="000000"/>
        </w:rPr>
        <w:t xml:space="preserve"> </w:t>
      </w:r>
      <w:r w:rsidR="00A81DE7">
        <w:rPr>
          <w:rStyle w:val="style81"/>
          <w:b/>
          <w:color w:val="000000"/>
        </w:rPr>
        <w:t>(thirty</w:t>
      </w:r>
      <w:r w:rsidR="002B0143" w:rsidRPr="006668E3">
        <w:rPr>
          <w:rStyle w:val="style81"/>
          <w:b/>
          <w:color w:val="000000"/>
        </w:rPr>
        <w:t>)</w:t>
      </w:r>
      <w:r w:rsidR="002B0143">
        <w:rPr>
          <w:rStyle w:val="style81"/>
          <w:color w:val="000000"/>
        </w:rPr>
        <w:t xml:space="preserve"> </w:t>
      </w:r>
      <w:r w:rsidR="00272CF9">
        <w:rPr>
          <w:rStyle w:val="style81"/>
          <w:color w:val="000000"/>
        </w:rPr>
        <w:t xml:space="preserve">business </w:t>
      </w:r>
      <w:r>
        <w:rPr>
          <w:rStyle w:val="style81"/>
          <w:color w:val="000000"/>
        </w:rPr>
        <w:t xml:space="preserve">days after the faculty member learns (or </w:t>
      </w:r>
      <w:r w:rsidR="00272CF9">
        <w:rPr>
          <w:rStyle w:val="style81"/>
          <w:color w:val="000000"/>
        </w:rPr>
        <w:t>reasonably</w:t>
      </w:r>
      <w:r>
        <w:rPr>
          <w:rStyle w:val="style81"/>
          <w:color w:val="000000"/>
        </w:rPr>
        <w:t xml:space="preserve"> </w:t>
      </w:r>
      <w:r w:rsidR="00272CF9">
        <w:rPr>
          <w:rStyle w:val="style81"/>
          <w:color w:val="000000"/>
        </w:rPr>
        <w:t xml:space="preserve">be expected to </w:t>
      </w:r>
      <w:r>
        <w:rPr>
          <w:rStyle w:val="style81"/>
          <w:color w:val="000000"/>
        </w:rPr>
        <w:t>have learned) of the action or condition that gave rise to the grievance.</w:t>
      </w:r>
      <w:r w:rsidR="00A5459E">
        <w:rPr>
          <w:rStyle w:val="style81"/>
          <w:color w:val="FF0000"/>
        </w:rPr>
        <w:t xml:space="preserve"> </w:t>
      </w:r>
      <w:r w:rsidRPr="00A5459E">
        <w:rPr>
          <w:rFonts w:ascii="Arial" w:hAnsi="Arial" w:cs="Arial"/>
          <w:color w:val="000000"/>
        </w:rPr>
        <w:t xml:space="preserve">The </w:t>
      </w:r>
      <w:r w:rsidR="002B0143" w:rsidRPr="00A5459E">
        <w:rPr>
          <w:rFonts w:ascii="Arial" w:hAnsi="Arial" w:cs="Arial"/>
          <w:color w:val="000000"/>
        </w:rPr>
        <w:t>hearing officer</w:t>
      </w:r>
      <w:r w:rsidRPr="00A5459E">
        <w:rPr>
          <w:rFonts w:ascii="Arial" w:hAnsi="Arial" w:cs="Arial"/>
          <w:color w:val="000000"/>
        </w:rPr>
        <w:t xml:space="preserve"> may consider only those grievances that are filed in a timely manner.  </w:t>
      </w:r>
      <w:r w:rsidRPr="00A5459E">
        <w:rPr>
          <w:rFonts w:ascii="Arial" w:hAnsi="Arial" w:cs="Arial"/>
          <w:color w:val="000000"/>
        </w:rPr>
        <w:br/>
      </w:r>
    </w:p>
    <w:p w:rsidR="009A7869" w:rsidRDefault="009D1F25" w:rsidP="009D1F25">
      <w:pPr>
        <w:numPr>
          <w:ilvl w:val="1"/>
          <w:numId w:val="3"/>
        </w:numPr>
        <w:tabs>
          <w:tab w:val="left" w:pos="1170"/>
          <w:tab w:val="left" w:pos="153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Hearing Officer. </w:t>
      </w:r>
      <w:r w:rsidR="0025769E">
        <w:rPr>
          <w:rFonts w:ascii="Arial" w:hAnsi="Arial" w:cs="Arial"/>
          <w:color w:val="000000"/>
        </w:rPr>
        <w:t xml:space="preserve">If the grievance involves termination or non-renewal of a faculty member’s employment at the end of the contract period, or an issue related to wages, hours, or conditions of work, </w:t>
      </w:r>
      <w:r w:rsidR="00786AA7">
        <w:rPr>
          <w:rFonts w:ascii="Arial" w:hAnsi="Arial" w:cs="Arial"/>
          <w:color w:val="000000"/>
        </w:rPr>
        <w:t xml:space="preserve">or an appeal as provided under paragraph 3 of PPS 8.08 </w:t>
      </w:r>
      <w:r w:rsidR="0025769E">
        <w:rPr>
          <w:rFonts w:ascii="Arial" w:hAnsi="Arial" w:cs="Arial"/>
          <w:color w:val="000000"/>
        </w:rPr>
        <w:t xml:space="preserve">the president will appoint an </w:t>
      </w:r>
      <w:r w:rsidR="00272CF9">
        <w:rPr>
          <w:rFonts w:ascii="Arial" w:hAnsi="Arial" w:cs="Arial"/>
          <w:color w:val="000000"/>
        </w:rPr>
        <w:t>tenure</w:t>
      </w:r>
      <w:r w:rsidR="00AF1C05">
        <w:rPr>
          <w:rFonts w:ascii="Arial" w:hAnsi="Arial" w:cs="Arial"/>
          <w:color w:val="000000"/>
        </w:rPr>
        <w:t>d</w:t>
      </w:r>
      <w:r w:rsidR="00272CF9">
        <w:rPr>
          <w:rFonts w:ascii="Arial" w:hAnsi="Arial" w:cs="Arial"/>
          <w:color w:val="000000"/>
        </w:rPr>
        <w:t xml:space="preserve"> </w:t>
      </w:r>
      <w:r w:rsidR="0025769E">
        <w:rPr>
          <w:rFonts w:ascii="Arial" w:hAnsi="Arial" w:cs="Arial"/>
          <w:color w:val="000000"/>
        </w:rPr>
        <w:t xml:space="preserve">administrator </w:t>
      </w:r>
      <w:r w:rsidR="00272CF9">
        <w:rPr>
          <w:rFonts w:ascii="Arial" w:hAnsi="Arial" w:cs="Arial"/>
          <w:color w:val="000000"/>
        </w:rPr>
        <w:t xml:space="preserve">from an academic unit outside the college in which the grievance was initiated </w:t>
      </w:r>
      <w:r w:rsidR="0025769E">
        <w:rPr>
          <w:rFonts w:ascii="Arial" w:hAnsi="Arial" w:cs="Arial"/>
          <w:color w:val="000000"/>
        </w:rPr>
        <w:t>(on an ad hoc basis) to serve as the he</w:t>
      </w:r>
      <w:r w:rsidR="00971547">
        <w:rPr>
          <w:rFonts w:ascii="Arial" w:hAnsi="Arial" w:cs="Arial"/>
          <w:color w:val="000000"/>
        </w:rPr>
        <w:t xml:space="preserve">aring officer. Should more than </w:t>
      </w:r>
      <w:r w:rsidR="0025769E">
        <w:rPr>
          <w:rFonts w:ascii="Arial" w:hAnsi="Arial" w:cs="Arial"/>
          <w:color w:val="000000"/>
        </w:rPr>
        <w:t xml:space="preserve">one grievance be filed concurrently, additional hearing officers may be appointed as needed. </w:t>
      </w:r>
    </w:p>
    <w:p w:rsidR="009A7869" w:rsidRDefault="009A786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D1F25" w:rsidRPr="006D56D1" w:rsidRDefault="0025769E" w:rsidP="009A7869">
      <w:pPr>
        <w:tabs>
          <w:tab w:val="left" w:pos="1170"/>
          <w:tab w:val="left" w:pos="1530"/>
        </w:tabs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</w:p>
    <w:p w:rsidR="00CC4F70" w:rsidRDefault="00CC4F70" w:rsidP="00CC4F70">
      <w:pPr>
        <w:numPr>
          <w:ilvl w:val="1"/>
          <w:numId w:val="3"/>
        </w:numPr>
        <w:spacing w:before="100" w:beforeAutospacing="1"/>
        <w:rPr>
          <w:rStyle w:val="style81"/>
          <w:color w:val="000000"/>
        </w:rPr>
      </w:pPr>
      <w:r w:rsidRPr="00C93B10">
        <w:rPr>
          <w:rFonts w:ascii="Arial" w:hAnsi="Arial" w:cs="Arial"/>
          <w:color w:val="000000"/>
        </w:rPr>
        <w:t xml:space="preserve">Communication. </w:t>
      </w:r>
      <w:r w:rsidR="00AE40CF">
        <w:rPr>
          <w:rStyle w:val="style81"/>
          <w:color w:val="000000"/>
        </w:rPr>
        <w:t>T</w:t>
      </w:r>
      <w:r>
        <w:rPr>
          <w:rStyle w:val="style81"/>
          <w:color w:val="000000"/>
        </w:rPr>
        <w:t>he president will</w:t>
      </w:r>
      <w:r w:rsidR="00191A0E">
        <w:rPr>
          <w:rStyle w:val="style81"/>
          <w:color w:val="000000"/>
        </w:rPr>
        <w:t xml:space="preserve"> forward the grievance to the p</w:t>
      </w:r>
      <w:r w:rsidR="00AE40CF">
        <w:rPr>
          <w:rStyle w:val="style81"/>
          <w:color w:val="000000"/>
        </w:rPr>
        <w:t>rov</w:t>
      </w:r>
      <w:r w:rsidR="005537D4">
        <w:rPr>
          <w:rStyle w:val="style81"/>
          <w:color w:val="000000"/>
        </w:rPr>
        <w:t xml:space="preserve">ost who will send copies to (1) </w:t>
      </w:r>
      <w:r w:rsidR="00272CF9">
        <w:rPr>
          <w:rStyle w:val="style81"/>
          <w:color w:val="000000"/>
        </w:rPr>
        <w:t xml:space="preserve">the </w:t>
      </w:r>
      <w:r w:rsidR="005537D4">
        <w:rPr>
          <w:rStyle w:val="style81"/>
          <w:color w:val="000000"/>
        </w:rPr>
        <w:t>hearing o</w:t>
      </w:r>
      <w:r w:rsidR="00AE40CF">
        <w:rPr>
          <w:rStyle w:val="style81"/>
          <w:color w:val="000000"/>
        </w:rPr>
        <w:t>fficer, (2) the responding party(s), (3) the appropriate chair and dean, and (4) the chair of the Faculty Senate.</w:t>
      </w:r>
      <w:r>
        <w:rPr>
          <w:rStyle w:val="style81"/>
          <w:color w:val="000000"/>
        </w:rPr>
        <w:t xml:space="preserve"> </w:t>
      </w:r>
    </w:p>
    <w:p w:rsidR="00CC4F70" w:rsidRPr="00A64417" w:rsidRDefault="00CC4F70" w:rsidP="00CC4F70">
      <w:pPr>
        <w:ind w:left="1440"/>
        <w:rPr>
          <w:rFonts w:ascii="Arial" w:hAnsi="Arial" w:cs="Arial"/>
          <w:color w:val="000000"/>
        </w:rPr>
      </w:pPr>
      <w:r>
        <w:rPr>
          <w:rStyle w:val="style81"/>
          <w:color w:val="000000"/>
        </w:rPr>
        <w:br/>
      </w:r>
      <w:r w:rsidRPr="00C93B10">
        <w:rPr>
          <w:rFonts w:ascii="Arial" w:hAnsi="Arial" w:cs="Arial"/>
          <w:color w:val="000000"/>
        </w:rPr>
        <w:t xml:space="preserve">After a formal grievance is filed, the parties may communicate on the grievance issues only through the </w:t>
      </w:r>
      <w:r>
        <w:rPr>
          <w:rFonts w:ascii="Arial" w:hAnsi="Arial" w:cs="Arial"/>
          <w:color w:val="000000"/>
        </w:rPr>
        <w:t>o</w:t>
      </w:r>
      <w:r w:rsidRPr="00C93B10">
        <w:rPr>
          <w:rFonts w:ascii="Arial" w:hAnsi="Arial" w:cs="Arial"/>
          <w:color w:val="000000"/>
        </w:rPr>
        <w:t xml:space="preserve">mbudsman or the </w:t>
      </w:r>
      <w:r>
        <w:rPr>
          <w:rFonts w:ascii="Arial" w:hAnsi="Arial" w:cs="Arial"/>
          <w:color w:val="000000"/>
        </w:rPr>
        <w:t>hearing officer</w:t>
      </w:r>
      <w:r w:rsidRPr="00A64417">
        <w:rPr>
          <w:rFonts w:ascii="Arial" w:hAnsi="Arial" w:cs="Arial"/>
          <w:color w:val="000000"/>
        </w:rPr>
        <w:t xml:space="preserve"> until the matter is resolved. </w:t>
      </w:r>
      <w:r>
        <w:rPr>
          <w:rFonts w:ascii="Arial" w:hAnsi="Arial" w:cs="Arial"/>
          <w:color w:val="000000"/>
        </w:rPr>
        <w:br/>
      </w:r>
    </w:p>
    <w:p w:rsidR="00CC4F70" w:rsidRDefault="00834BDA" w:rsidP="00042369">
      <w:pPr>
        <w:numPr>
          <w:ilvl w:val="1"/>
          <w:numId w:val="3"/>
        </w:numPr>
        <w:rPr>
          <w:rFonts w:ascii="Arial" w:hAnsi="Arial" w:cs="Arial"/>
          <w:color w:val="000000"/>
        </w:rPr>
      </w:pPr>
      <w:r>
        <w:rPr>
          <w:rStyle w:val="style81"/>
          <w:color w:val="000000"/>
        </w:rPr>
        <w:t xml:space="preserve">Grievance </w:t>
      </w:r>
      <w:r w:rsidRPr="00834BDA">
        <w:rPr>
          <w:rStyle w:val="style81"/>
          <w:color w:val="000000"/>
        </w:rPr>
        <w:t>Limitations</w:t>
      </w:r>
      <w:r w:rsidR="006F34CA">
        <w:rPr>
          <w:rStyle w:val="style81"/>
          <w:color w:val="000000"/>
        </w:rPr>
        <w:t xml:space="preserve">. </w:t>
      </w:r>
      <w:r w:rsidR="00CC4F70" w:rsidRPr="00C77ACC">
        <w:rPr>
          <w:rStyle w:val="style81"/>
          <w:color w:val="000000"/>
        </w:rPr>
        <w:t xml:space="preserve">The </w:t>
      </w:r>
      <w:r w:rsidR="002B0143" w:rsidRPr="00C77ACC">
        <w:rPr>
          <w:rStyle w:val="style81"/>
          <w:color w:val="000000"/>
        </w:rPr>
        <w:t>hearing officer</w:t>
      </w:r>
      <w:r w:rsidR="00CC4F70" w:rsidRPr="00C77ACC">
        <w:rPr>
          <w:rStyle w:val="style81"/>
          <w:color w:val="000000"/>
        </w:rPr>
        <w:t xml:space="preserve"> may not recommend changing </w:t>
      </w:r>
      <w:r w:rsidR="0025769E">
        <w:rPr>
          <w:rStyle w:val="style81"/>
          <w:color w:val="000000"/>
        </w:rPr>
        <w:t>the administration’s action regarding non-renewal or termination of employment</w:t>
      </w:r>
      <w:r w:rsidR="00971547">
        <w:rPr>
          <w:rStyle w:val="style81"/>
          <w:color w:val="000000"/>
        </w:rPr>
        <w:t xml:space="preserve"> </w:t>
      </w:r>
      <w:r w:rsidR="00CC4F70" w:rsidRPr="00971547">
        <w:rPr>
          <w:rFonts w:ascii="Arial" w:hAnsi="Arial" w:cs="Arial"/>
          <w:color w:val="000000"/>
        </w:rPr>
        <w:t xml:space="preserve">unless the faculty member </w:t>
      </w:r>
      <w:r w:rsidR="0025769E" w:rsidRPr="00971547">
        <w:rPr>
          <w:rFonts w:ascii="Arial" w:hAnsi="Arial" w:cs="Arial"/>
          <w:color w:val="000000"/>
        </w:rPr>
        <w:t xml:space="preserve">establishes </w:t>
      </w:r>
      <w:r w:rsidR="005537D4">
        <w:rPr>
          <w:rFonts w:ascii="Arial" w:hAnsi="Arial" w:cs="Arial"/>
          <w:color w:val="000000"/>
        </w:rPr>
        <w:t xml:space="preserve">a </w:t>
      </w:r>
      <w:r w:rsidR="00FE0A1D" w:rsidRPr="00971547">
        <w:rPr>
          <w:rFonts w:ascii="Arial" w:hAnsi="Arial" w:cs="Arial"/>
          <w:color w:val="000000"/>
        </w:rPr>
        <w:t>prima fa</w:t>
      </w:r>
      <w:r w:rsidR="0025769E" w:rsidRPr="00971547">
        <w:rPr>
          <w:rFonts w:ascii="Arial" w:hAnsi="Arial" w:cs="Arial"/>
          <w:color w:val="000000"/>
        </w:rPr>
        <w:t>cie case – that is</w:t>
      </w:r>
      <w:r w:rsidR="00CC4F70" w:rsidRPr="00971547">
        <w:rPr>
          <w:rFonts w:ascii="Arial" w:hAnsi="Arial" w:cs="Arial"/>
          <w:color w:val="000000"/>
        </w:rPr>
        <w:t xml:space="preserve">, </w:t>
      </w:r>
      <w:r w:rsidR="0025769E" w:rsidRPr="00971547">
        <w:rPr>
          <w:rFonts w:ascii="Arial" w:hAnsi="Arial" w:cs="Arial"/>
          <w:color w:val="000000"/>
        </w:rPr>
        <w:t>presents evidence sufficien</w:t>
      </w:r>
      <w:r w:rsidR="005537D4">
        <w:rPr>
          <w:rFonts w:ascii="Arial" w:hAnsi="Arial" w:cs="Arial"/>
          <w:color w:val="000000"/>
        </w:rPr>
        <w:t xml:space="preserve">t to establish in the absence of rebuttal by the </w:t>
      </w:r>
      <w:r w:rsidR="00191A0E">
        <w:rPr>
          <w:rFonts w:ascii="Arial" w:hAnsi="Arial" w:cs="Arial"/>
          <w:color w:val="000000"/>
        </w:rPr>
        <w:t>TSUS Institution</w:t>
      </w:r>
      <w:r w:rsidR="0025769E" w:rsidRPr="00971547">
        <w:rPr>
          <w:rFonts w:ascii="Arial" w:hAnsi="Arial" w:cs="Arial"/>
          <w:color w:val="000000"/>
        </w:rPr>
        <w:t xml:space="preserve">, </w:t>
      </w:r>
      <w:r w:rsidR="00CC4F70" w:rsidRPr="00971547">
        <w:rPr>
          <w:rFonts w:ascii="Arial" w:hAnsi="Arial" w:cs="Arial"/>
          <w:color w:val="000000"/>
        </w:rPr>
        <w:t xml:space="preserve">that he or she has been denied a right guaranteed by the Constitution or laws of the United States or the State of Texas. </w:t>
      </w:r>
    </w:p>
    <w:p w:rsidR="005537D4" w:rsidRPr="00971547" w:rsidRDefault="005537D4" w:rsidP="005537D4">
      <w:pPr>
        <w:rPr>
          <w:rFonts w:ascii="Arial" w:hAnsi="Arial" w:cs="Arial"/>
          <w:color w:val="000000"/>
        </w:rPr>
      </w:pPr>
    </w:p>
    <w:p w:rsidR="004E165E" w:rsidRPr="0082385C" w:rsidRDefault="0082385C" w:rsidP="00932612">
      <w:pPr>
        <w:tabs>
          <w:tab w:val="left" w:pos="1620"/>
        </w:tabs>
        <w:spacing w:before="120" w:after="240"/>
        <w:jc w:val="center"/>
        <w:rPr>
          <w:rFonts w:ascii="Arial" w:hAnsi="Arial" w:cs="Arial"/>
          <w:b/>
          <w:color w:val="000000"/>
        </w:rPr>
      </w:pPr>
      <w:r w:rsidRPr="0082385C">
        <w:rPr>
          <w:rFonts w:ascii="Arial" w:hAnsi="Arial" w:cs="Arial"/>
          <w:b/>
          <w:color w:val="000000"/>
        </w:rPr>
        <w:t>GRIEVANCE HEARING</w:t>
      </w:r>
    </w:p>
    <w:p w:rsidR="006F34CA" w:rsidRDefault="006F34CA" w:rsidP="009264EE">
      <w:pPr>
        <w:numPr>
          <w:ilvl w:val="0"/>
          <w:numId w:val="29"/>
        </w:numPr>
        <w:rPr>
          <w:rFonts w:ascii="Arial" w:hAnsi="Arial" w:cs="Arial"/>
          <w:color w:val="000000"/>
        </w:rPr>
      </w:pPr>
      <w:r w:rsidRPr="00365613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hearing officer</w:t>
      </w:r>
      <w:r w:rsidRPr="00365613">
        <w:rPr>
          <w:rFonts w:ascii="Arial" w:hAnsi="Arial" w:cs="Arial"/>
          <w:color w:val="000000"/>
        </w:rPr>
        <w:t xml:space="preserve"> will investigate all grievances filed by faculty members under this policy</w:t>
      </w:r>
      <w:r w:rsidR="00005A2B">
        <w:rPr>
          <w:rFonts w:ascii="Arial" w:hAnsi="Arial" w:cs="Arial"/>
          <w:color w:val="000000"/>
        </w:rPr>
        <w:t>.</w:t>
      </w:r>
      <w:r w:rsidR="009E7013">
        <w:rPr>
          <w:rFonts w:ascii="Arial" w:hAnsi="Arial" w:cs="Arial"/>
          <w:color w:val="000000"/>
        </w:rPr>
        <w:t xml:space="preserve"> </w:t>
      </w:r>
    </w:p>
    <w:p w:rsidR="006F34CA" w:rsidRDefault="006F34CA" w:rsidP="0082385C">
      <w:pPr>
        <w:numPr>
          <w:ilvl w:val="1"/>
          <w:numId w:val="23"/>
        </w:numPr>
        <w:spacing w:before="100" w:beforeAutospacing="1" w:after="240"/>
        <w:rPr>
          <w:rFonts w:ascii="Arial" w:hAnsi="Arial" w:cs="Arial"/>
          <w:color w:val="000000"/>
        </w:rPr>
      </w:pPr>
      <w:r w:rsidRPr="006F34CA">
        <w:rPr>
          <w:rFonts w:ascii="Arial" w:hAnsi="Arial" w:cs="Arial"/>
          <w:color w:val="000000"/>
        </w:rPr>
        <w:t xml:space="preserve">The hearing officer will meet with the grievant and will review any documents or other evidence that the grievant presents in support of his or her position.    </w:t>
      </w:r>
    </w:p>
    <w:p w:rsidR="006F34CA" w:rsidRDefault="00371F9C" w:rsidP="0082385C">
      <w:pPr>
        <w:numPr>
          <w:ilvl w:val="1"/>
          <w:numId w:val="23"/>
        </w:numP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hearing officer will make a determination. </w:t>
      </w:r>
      <w:r w:rsidR="00005A2B">
        <w:rPr>
          <w:rFonts w:ascii="Arial" w:hAnsi="Arial" w:cs="Arial"/>
          <w:color w:val="000000"/>
        </w:rPr>
        <w:t>If the hearing officer finds that the grievant has established a prima facie case, the hearing officer shall determine whether the administration has stated a nondiscriminatory reason for its decision and so advise the president</w:t>
      </w:r>
      <w:r w:rsidR="006F34CA" w:rsidRPr="00C77ACC">
        <w:rPr>
          <w:rFonts w:ascii="Arial" w:hAnsi="Arial" w:cs="Arial"/>
          <w:color w:val="000000"/>
        </w:rPr>
        <w:t xml:space="preserve">. </w:t>
      </w:r>
    </w:p>
    <w:p w:rsidR="00272CF9" w:rsidRDefault="00191A0E" w:rsidP="0082385C">
      <w:pPr>
        <w:numPr>
          <w:ilvl w:val="1"/>
          <w:numId w:val="23"/>
        </w:numPr>
        <w:spacing w:before="100" w:beforeAutospacing="1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</w:t>
      </w:r>
      <w:r w:rsidR="00272CF9">
        <w:rPr>
          <w:rFonts w:ascii="Arial" w:hAnsi="Arial" w:cs="Arial"/>
          <w:color w:val="000000"/>
        </w:rPr>
        <w:t xml:space="preserve">resident will inform the grievant, the respondent(s), </w:t>
      </w:r>
      <w:r w:rsidR="00371F9C">
        <w:rPr>
          <w:rFonts w:ascii="Arial" w:hAnsi="Arial" w:cs="Arial"/>
          <w:color w:val="000000"/>
        </w:rPr>
        <w:t xml:space="preserve">the provost, </w:t>
      </w:r>
      <w:r w:rsidR="009635EC">
        <w:rPr>
          <w:rFonts w:ascii="Arial" w:hAnsi="Arial" w:cs="Arial"/>
          <w:color w:val="000000"/>
        </w:rPr>
        <w:t xml:space="preserve">the hearing officer, </w:t>
      </w:r>
      <w:r w:rsidR="00371F9C">
        <w:rPr>
          <w:rFonts w:ascii="Arial" w:hAnsi="Arial" w:cs="Arial"/>
          <w:color w:val="000000"/>
        </w:rPr>
        <w:t>the appropriate dean and chair, and the Faculty Senate</w:t>
      </w:r>
      <w:r w:rsidR="009C2D88">
        <w:rPr>
          <w:rFonts w:ascii="Arial" w:hAnsi="Arial" w:cs="Arial"/>
          <w:color w:val="000000"/>
        </w:rPr>
        <w:t xml:space="preserve"> </w:t>
      </w:r>
      <w:r w:rsidR="00272CF9">
        <w:rPr>
          <w:rFonts w:ascii="Arial" w:hAnsi="Arial" w:cs="Arial"/>
          <w:color w:val="000000"/>
        </w:rPr>
        <w:t>of his or her</w:t>
      </w:r>
      <w:r w:rsidR="004C2FC6">
        <w:rPr>
          <w:rFonts w:ascii="Arial" w:hAnsi="Arial" w:cs="Arial"/>
          <w:color w:val="000000"/>
        </w:rPr>
        <w:t xml:space="preserve"> action regarding the grievance, and will distribute copies of the hearing officer’s final report to the grievant, the respondent(s), the provost</w:t>
      </w:r>
      <w:r w:rsidR="009635EC">
        <w:rPr>
          <w:rFonts w:ascii="Arial" w:hAnsi="Arial" w:cs="Arial"/>
          <w:color w:val="000000"/>
        </w:rPr>
        <w:t xml:space="preserve">, </w:t>
      </w:r>
      <w:r w:rsidR="004C4A48">
        <w:rPr>
          <w:rFonts w:ascii="Arial" w:hAnsi="Arial" w:cs="Arial"/>
          <w:color w:val="000000"/>
        </w:rPr>
        <w:t xml:space="preserve">the appropriate dean and chair, and the chair of the Faculty Senate. </w:t>
      </w:r>
    </w:p>
    <w:p w:rsidR="00FE0A1D" w:rsidRDefault="00FE0A1D" w:rsidP="00AF1C05">
      <w:pPr>
        <w:numPr>
          <w:ilvl w:val="0"/>
          <w:numId w:val="29"/>
        </w:numPr>
        <w:rPr>
          <w:rFonts w:ascii="Arial" w:hAnsi="Arial" w:cs="Arial"/>
          <w:bCs/>
          <w:color w:val="000000"/>
        </w:rPr>
      </w:pPr>
      <w:r w:rsidRPr="00FE0A1D">
        <w:rPr>
          <w:rFonts w:ascii="Arial" w:hAnsi="Arial" w:cs="Arial"/>
          <w:bCs/>
          <w:color w:val="000000"/>
        </w:rPr>
        <w:t>To the</w:t>
      </w:r>
      <w:r>
        <w:rPr>
          <w:rFonts w:ascii="Arial" w:hAnsi="Arial" w:cs="Arial"/>
          <w:bCs/>
          <w:color w:val="000000"/>
        </w:rPr>
        <w:t xml:space="preserve"> extent that this PPS conflicts with the Regents’ Rules, the latter shall prevail.  </w:t>
      </w:r>
      <w:r w:rsidR="005537D4">
        <w:rPr>
          <w:rFonts w:ascii="Arial" w:hAnsi="Arial" w:cs="Arial"/>
          <w:bCs/>
          <w:color w:val="000000"/>
        </w:rPr>
        <w:br/>
      </w:r>
    </w:p>
    <w:p w:rsidR="009A7869" w:rsidRDefault="00272CF9" w:rsidP="00AF1C05">
      <w:pPr>
        <w:numPr>
          <w:ilvl w:val="0"/>
          <w:numId w:val="29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</w:t>
      </w:r>
      <w:r w:rsidR="005537D4">
        <w:rPr>
          <w:rFonts w:ascii="Arial" w:hAnsi="Arial" w:cs="Arial"/>
          <w:bCs/>
          <w:color w:val="000000"/>
        </w:rPr>
        <w:t xml:space="preserve">rievance records will be maintained by the Office of the Provost and will be handled in accordance with the official Texas State University records retention policy. </w:t>
      </w:r>
    </w:p>
    <w:p w:rsidR="009A7869" w:rsidRDefault="009A786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p w:rsidR="005537D4" w:rsidRDefault="005537D4" w:rsidP="009A7869">
      <w:pPr>
        <w:ind w:left="720"/>
        <w:rPr>
          <w:rFonts w:ascii="Arial" w:hAnsi="Arial" w:cs="Arial"/>
          <w:bCs/>
          <w:color w:val="000000"/>
        </w:rPr>
      </w:pPr>
    </w:p>
    <w:p w:rsidR="00531EC4" w:rsidRPr="00AF1C05" w:rsidRDefault="00531EC4">
      <w:pPr>
        <w:spacing w:after="2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E0A1D" w:rsidRDefault="00FE0A1D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CERTIFICATION STATEMENT </w:t>
      </w:r>
    </w:p>
    <w:p w:rsidR="00FE0A1D" w:rsidRDefault="00FE0A1D" w:rsidP="009264EE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PPS has been approved by the reviewer listed below and represents Texas State's Division of Academic Affairs policy and procedure from the date of this document until superseded. 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"/>
        <w:gridCol w:w="4213"/>
        <w:gridCol w:w="4212"/>
      </w:tblGrid>
      <w:tr w:rsidR="00C43B4E" w:rsidTr="00C43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3B4E" w:rsidRDefault="00C43B4E" w:rsidP="00654864">
            <w:r>
              <w:rPr>
                <w:rFonts w:ascii="Arial" w:hAnsi="Arial" w:cs="Arial"/>
              </w:rPr>
              <w:t>Review Cycle: _____________________________</w:t>
            </w:r>
          </w:p>
        </w:tc>
        <w:tc>
          <w:tcPr>
            <w:tcW w:w="2250" w:type="pct"/>
            <w:vAlign w:val="center"/>
            <w:hideMark/>
          </w:tcPr>
          <w:p w:rsidR="00C43B4E" w:rsidRDefault="00C43B4E" w:rsidP="00654864">
            <w:r>
              <w:rPr>
                <w:rFonts w:ascii="Arial" w:hAnsi="Arial" w:cs="Arial"/>
              </w:rPr>
              <w:t>Review Date: _______________________</w:t>
            </w:r>
          </w:p>
        </w:tc>
      </w:tr>
      <w:tr w:rsidR="00C43B4E" w:rsidTr="00C43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3B4E" w:rsidRDefault="00C43B4E" w:rsidP="00654864">
            <w:r>
              <w:rPr>
                <w:rFonts w:ascii="Arial" w:hAnsi="Arial" w:cs="Arial"/>
              </w:rPr>
              <w:t>Reviewer: ________________________________</w:t>
            </w:r>
          </w:p>
        </w:tc>
        <w:tc>
          <w:tcPr>
            <w:tcW w:w="0" w:type="auto"/>
            <w:vAlign w:val="center"/>
            <w:hideMark/>
          </w:tcPr>
          <w:p w:rsidR="00C43B4E" w:rsidRDefault="00C43B4E" w:rsidP="00654864">
            <w:r>
              <w:rPr>
                <w:rFonts w:ascii="Arial" w:hAnsi="Arial" w:cs="Arial"/>
              </w:rPr>
              <w:t>Date: _____________________________</w:t>
            </w:r>
          </w:p>
        </w:tc>
      </w:tr>
      <w:tr w:rsidR="00C43B4E" w:rsidTr="00C43B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3B4E" w:rsidRDefault="00C43B4E" w:rsidP="00654864">
            <w:r>
              <w:rPr>
                <w:rFonts w:ascii="Arial" w:hAnsi="Arial" w:cs="Arial"/>
              </w:rPr>
              <w:t>Approved: ________________________________</w:t>
            </w:r>
          </w:p>
        </w:tc>
        <w:tc>
          <w:tcPr>
            <w:tcW w:w="0" w:type="auto"/>
            <w:vAlign w:val="center"/>
            <w:hideMark/>
          </w:tcPr>
          <w:p w:rsidR="00C43B4E" w:rsidRDefault="00C43B4E" w:rsidP="00654864">
            <w:r>
              <w:rPr>
                <w:rFonts w:ascii="Arial" w:hAnsi="Arial" w:cs="Arial"/>
              </w:rPr>
              <w:t>Date: _____________________________</w:t>
            </w:r>
          </w:p>
        </w:tc>
      </w:tr>
      <w:tr w:rsidR="00C43B4E" w:rsidTr="00C43B4E">
        <w:trPr>
          <w:tblCellSpacing w:w="0" w:type="dxa"/>
          <w:jc w:val="center"/>
        </w:trPr>
        <w:tc>
          <w:tcPr>
            <w:tcW w:w="499" w:type="pct"/>
            <w:vAlign w:val="center"/>
            <w:hideMark/>
          </w:tcPr>
          <w:p w:rsidR="00C43B4E" w:rsidRDefault="00C43B4E" w:rsidP="00654864">
            <w:r>
              <w:t> </w:t>
            </w:r>
          </w:p>
        </w:tc>
        <w:tc>
          <w:tcPr>
            <w:tcW w:w="2250" w:type="pct"/>
            <w:vAlign w:val="center"/>
            <w:hideMark/>
          </w:tcPr>
          <w:p w:rsidR="00C43B4E" w:rsidRPr="004C2FC6" w:rsidRDefault="00C43B4E" w:rsidP="00654864">
            <w:pPr>
              <w:rPr>
                <w:sz w:val="22"/>
                <w:szCs w:val="22"/>
              </w:rPr>
            </w:pPr>
            <w:r w:rsidRPr="004C2FC6">
              <w:rPr>
                <w:rFonts w:ascii="Arial" w:hAnsi="Arial" w:cs="Arial"/>
                <w:sz w:val="22"/>
                <w:szCs w:val="22"/>
              </w:rPr>
              <w:t>Gene</w:t>
            </w:r>
            <w:bookmarkStart w:id="0" w:name="_GoBack"/>
            <w:bookmarkEnd w:id="0"/>
            <w:r w:rsidRPr="004C2FC6">
              <w:rPr>
                <w:rFonts w:ascii="Arial" w:hAnsi="Arial" w:cs="Arial"/>
                <w:sz w:val="22"/>
                <w:szCs w:val="22"/>
              </w:rPr>
              <w:t xml:space="preserve"> Bourgeois </w:t>
            </w:r>
          </w:p>
        </w:tc>
        <w:tc>
          <w:tcPr>
            <w:tcW w:w="0" w:type="auto"/>
            <w:vAlign w:val="center"/>
            <w:hideMark/>
          </w:tcPr>
          <w:p w:rsidR="00C43B4E" w:rsidRDefault="00C43B4E" w:rsidP="00654864">
            <w:r>
              <w:t> </w:t>
            </w:r>
          </w:p>
        </w:tc>
      </w:tr>
      <w:tr w:rsidR="00C43B4E" w:rsidTr="00C43B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43B4E" w:rsidRDefault="00C43B4E" w:rsidP="00654864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43B4E" w:rsidRPr="004C2FC6" w:rsidRDefault="00C43B4E" w:rsidP="00654864">
            <w:pPr>
              <w:rPr>
                <w:sz w:val="22"/>
                <w:szCs w:val="22"/>
              </w:rPr>
            </w:pPr>
            <w:r w:rsidRPr="004C2FC6">
              <w:rPr>
                <w:rFonts w:ascii="Arial" w:hAnsi="Arial" w:cs="Arial"/>
                <w:sz w:val="22"/>
                <w:szCs w:val="22"/>
              </w:rPr>
              <w:t xml:space="preserve">Provost and Vice President for Academic Affairs </w:t>
            </w:r>
          </w:p>
        </w:tc>
        <w:tc>
          <w:tcPr>
            <w:tcW w:w="0" w:type="auto"/>
            <w:vAlign w:val="center"/>
            <w:hideMark/>
          </w:tcPr>
          <w:p w:rsidR="00C43B4E" w:rsidRDefault="00C43B4E" w:rsidP="00654864">
            <w:r>
              <w:t> </w:t>
            </w:r>
          </w:p>
        </w:tc>
      </w:tr>
    </w:tbl>
    <w:p w:rsidR="00FE0A1D" w:rsidRPr="009264EE" w:rsidRDefault="00FE0A1D" w:rsidP="00D90F53">
      <w:pPr>
        <w:rPr>
          <w:color w:val="000000"/>
          <w:sz w:val="12"/>
          <w:szCs w:val="12"/>
        </w:rPr>
      </w:pPr>
      <w:r w:rsidRPr="009264EE">
        <w:rPr>
          <w:rFonts w:ascii="Arial" w:hAnsi="Arial" w:cs="Arial"/>
          <w:color w:val="000000"/>
          <w:sz w:val="12"/>
          <w:szCs w:val="12"/>
        </w:rPr>
        <w:t>Texas State University</w:t>
      </w:r>
    </w:p>
    <w:p w:rsidR="00FE0A1D" w:rsidRPr="009264EE" w:rsidRDefault="00FE0A1D">
      <w:pPr>
        <w:rPr>
          <w:color w:val="000000"/>
          <w:sz w:val="12"/>
          <w:szCs w:val="12"/>
        </w:rPr>
      </w:pPr>
      <w:r w:rsidRPr="009264EE">
        <w:rPr>
          <w:rFonts w:ascii="Arial" w:hAnsi="Arial" w:cs="Arial"/>
          <w:color w:val="000000"/>
          <w:sz w:val="12"/>
          <w:szCs w:val="12"/>
        </w:rPr>
        <w:t>Provost and Vice President for Academic Affairs</w:t>
      </w:r>
    </w:p>
    <w:p w:rsidR="00FE0A1D" w:rsidRPr="009264EE" w:rsidRDefault="00FE0A1D" w:rsidP="00EC4FEA">
      <w:pPr>
        <w:rPr>
          <w:color w:val="000000"/>
          <w:sz w:val="12"/>
          <w:szCs w:val="12"/>
        </w:rPr>
      </w:pPr>
      <w:r w:rsidRPr="009264EE">
        <w:rPr>
          <w:rFonts w:ascii="Arial" w:hAnsi="Arial" w:cs="Arial"/>
          <w:color w:val="000000"/>
          <w:sz w:val="12"/>
          <w:szCs w:val="12"/>
        </w:rPr>
        <w:t xml:space="preserve">Last Updated: </w:t>
      </w:r>
      <w:r w:rsidR="0007663C">
        <w:rPr>
          <w:rFonts w:ascii="Arial" w:hAnsi="Arial" w:cs="Arial"/>
          <w:color w:val="000000"/>
          <w:sz w:val="12"/>
          <w:szCs w:val="12"/>
        </w:rPr>
        <w:t>February 9, 2016</w:t>
      </w:r>
    </w:p>
    <w:p w:rsidR="00FE0A1D" w:rsidRPr="009264EE" w:rsidRDefault="00FE0A1D">
      <w:pPr>
        <w:rPr>
          <w:color w:val="000000"/>
          <w:sz w:val="12"/>
          <w:szCs w:val="12"/>
        </w:rPr>
      </w:pPr>
      <w:r w:rsidRPr="009264EE">
        <w:rPr>
          <w:rFonts w:ascii="Arial" w:hAnsi="Arial" w:cs="Arial"/>
          <w:color w:val="000000"/>
          <w:sz w:val="12"/>
          <w:szCs w:val="12"/>
        </w:rPr>
        <w:t xml:space="preserve">Send comments and questions to: </w:t>
      </w:r>
      <w:hyperlink r:id="rId9" w:history="1">
        <w:r w:rsidRPr="009264EE">
          <w:rPr>
            <w:rStyle w:val="Hyperlink"/>
            <w:rFonts w:ascii="Arial" w:hAnsi="Arial" w:cs="Arial"/>
            <w:sz w:val="12"/>
            <w:szCs w:val="12"/>
          </w:rPr>
          <w:t>tg12@txstate.edu</w:t>
        </w:r>
      </w:hyperlink>
      <w:r w:rsidRPr="009264EE">
        <w:rPr>
          <w:rFonts w:ascii="Arial" w:hAnsi="Arial" w:cs="Arial"/>
          <w:color w:val="000000"/>
          <w:sz w:val="12"/>
          <w:szCs w:val="12"/>
        </w:rPr>
        <w:t xml:space="preserve"> </w:t>
      </w:r>
    </w:p>
    <w:sectPr w:rsidR="00FE0A1D" w:rsidRPr="009264EE" w:rsidSect="004C2FC6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F89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D559C"/>
    <w:multiLevelType w:val="hybridMultilevel"/>
    <w:tmpl w:val="14265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A7DAE"/>
    <w:multiLevelType w:val="hybridMultilevel"/>
    <w:tmpl w:val="A3FEF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07C2"/>
    <w:multiLevelType w:val="multilevel"/>
    <w:tmpl w:val="985C9E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85BC1"/>
    <w:multiLevelType w:val="hybridMultilevel"/>
    <w:tmpl w:val="8D9E92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72707D"/>
    <w:multiLevelType w:val="hybridMultilevel"/>
    <w:tmpl w:val="57223C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F778A"/>
    <w:multiLevelType w:val="hybridMultilevel"/>
    <w:tmpl w:val="17A43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F02BB"/>
    <w:multiLevelType w:val="hybridMultilevel"/>
    <w:tmpl w:val="023299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445D16"/>
    <w:multiLevelType w:val="multilevel"/>
    <w:tmpl w:val="E12E5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0390583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B58306B"/>
    <w:multiLevelType w:val="hybridMultilevel"/>
    <w:tmpl w:val="8D2A2B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BB35863"/>
    <w:multiLevelType w:val="hybridMultilevel"/>
    <w:tmpl w:val="8EBA0B22"/>
    <w:lvl w:ilvl="0" w:tplc="E7C4EC0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86D5A"/>
    <w:multiLevelType w:val="hybridMultilevel"/>
    <w:tmpl w:val="C00C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003E0"/>
    <w:multiLevelType w:val="hybridMultilevel"/>
    <w:tmpl w:val="B3ECE4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91726"/>
    <w:multiLevelType w:val="hybridMultilevel"/>
    <w:tmpl w:val="0F64BC72"/>
    <w:lvl w:ilvl="0" w:tplc="5C0009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1F56"/>
    <w:multiLevelType w:val="hybridMultilevel"/>
    <w:tmpl w:val="9EFA8A4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B69B7"/>
    <w:multiLevelType w:val="hybridMultilevel"/>
    <w:tmpl w:val="DD3CDD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1F6FD5"/>
    <w:multiLevelType w:val="hybridMultilevel"/>
    <w:tmpl w:val="05AC18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C0A48"/>
    <w:multiLevelType w:val="hybridMultilevel"/>
    <w:tmpl w:val="F98E63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DB4FC1"/>
    <w:multiLevelType w:val="multilevel"/>
    <w:tmpl w:val="FF282A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78C02DE"/>
    <w:multiLevelType w:val="multilevel"/>
    <w:tmpl w:val="2BF6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47D33"/>
    <w:multiLevelType w:val="multilevel"/>
    <w:tmpl w:val="CE924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62D36"/>
    <w:multiLevelType w:val="multilevel"/>
    <w:tmpl w:val="A74CC0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7D143B5"/>
    <w:multiLevelType w:val="hybridMultilevel"/>
    <w:tmpl w:val="819491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0944BA"/>
    <w:multiLevelType w:val="multilevel"/>
    <w:tmpl w:val="B52A82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4FD14DF"/>
    <w:multiLevelType w:val="multilevel"/>
    <w:tmpl w:val="95DA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97332C"/>
    <w:multiLevelType w:val="multilevel"/>
    <w:tmpl w:val="4866E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93009E4"/>
    <w:multiLevelType w:val="hybridMultilevel"/>
    <w:tmpl w:val="8CC4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9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  <w:lvlOverride w:ilvl="1">
      <w:startOverride w:val="4"/>
      <w:lvl w:ilvl="1">
        <w:start w:val="4"/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21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17"/>
  </w:num>
  <w:num w:numId="13">
    <w:abstractNumId w:val="1"/>
  </w:num>
  <w:num w:numId="14">
    <w:abstractNumId w:val="4"/>
  </w:num>
  <w:num w:numId="15">
    <w:abstractNumId w:val="12"/>
  </w:num>
  <w:num w:numId="16">
    <w:abstractNumId w:val="22"/>
  </w:num>
  <w:num w:numId="17">
    <w:abstractNumId w:val="26"/>
  </w:num>
  <w:num w:numId="18">
    <w:abstractNumId w:val="11"/>
  </w:num>
  <w:num w:numId="19">
    <w:abstractNumId w:val="7"/>
  </w:num>
  <w:num w:numId="20">
    <w:abstractNumId w:val="5"/>
  </w:num>
  <w:num w:numId="21">
    <w:abstractNumId w:val="14"/>
  </w:num>
  <w:num w:numId="22">
    <w:abstractNumId w:val="2"/>
  </w:num>
  <w:num w:numId="23">
    <w:abstractNumId w:val="6"/>
  </w:num>
  <w:num w:numId="24">
    <w:abstractNumId w:val="13"/>
  </w:num>
  <w:num w:numId="25">
    <w:abstractNumId w:val="10"/>
  </w:num>
  <w:num w:numId="26">
    <w:abstractNumId w:val="25"/>
  </w:num>
  <w:num w:numId="27">
    <w:abstractNumId w:val="16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C"/>
    <w:rsid w:val="00005A2B"/>
    <w:rsid w:val="000112E8"/>
    <w:rsid w:val="00014023"/>
    <w:rsid w:val="00042369"/>
    <w:rsid w:val="0007663C"/>
    <w:rsid w:val="00096ACA"/>
    <w:rsid w:val="000A142E"/>
    <w:rsid w:val="000B252C"/>
    <w:rsid w:val="000B413F"/>
    <w:rsid w:val="000E61A3"/>
    <w:rsid w:val="00126DC4"/>
    <w:rsid w:val="00133E6E"/>
    <w:rsid w:val="001418D3"/>
    <w:rsid w:val="00155A2A"/>
    <w:rsid w:val="00173655"/>
    <w:rsid w:val="00191A0E"/>
    <w:rsid w:val="001F16BB"/>
    <w:rsid w:val="00211D04"/>
    <w:rsid w:val="00223244"/>
    <w:rsid w:val="00234FE2"/>
    <w:rsid w:val="0025769E"/>
    <w:rsid w:val="00266502"/>
    <w:rsid w:val="00272CF9"/>
    <w:rsid w:val="00273F4D"/>
    <w:rsid w:val="00275793"/>
    <w:rsid w:val="002B0143"/>
    <w:rsid w:val="002F5445"/>
    <w:rsid w:val="0033386D"/>
    <w:rsid w:val="00365613"/>
    <w:rsid w:val="00371F9C"/>
    <w:rsid w:val="003D3E1E"/>
    <w:rsid w:val="00415BAC"/>
    <w:rsid w:val="0048059F"/>
    <w:rsid w:val="004C2FC6"/>
    <w:rsid w:val="004C4A48"/>
    <w:rsid w:val="004D73A0"/>
    <w:rsid w:val="004E165E"/>
    <w:rsid w:val="004E4EAC"/>
    <w:rsid w:val="0050045E"/>
    <w:rsid w:val="00513337"/>
    <w:rsid w:val="0051480F"/>
    <w:rsid w:val="00520C62"/>
    <w:rsid w:val="00530660"/>
    <w:rsid w:val="00531EC4"/>
    <w:rsid w:val="005537D4"/>
    <w:rsid w:val="00587FC6"/>
    <w:rsid w:val="005A292B"/>
    <w:rsid w:val="005B64E3"/>
    <w:rsid w:val="005D00E4"/>
    <w:rsid w:val="005F1411"/>
    <w:rsid w:val="00601D86"/>
    <w:rsid w:val="0060727D"/>
    <w:rsid w:val="00612B11"/>
    <w:rsid w:val="00615D88"/>
    <w:rsid w:val="00643A85"/>
    <w:rsid w:val="006468F0"/>
    <w:rsid w:val="00654864"/>
    <w:rsid w:val="006668E3"/>
    <w:rsid w:val="00671F5A"/>
    <w:rsid w:val="006730E4"/>
    <w:rsid w:val="00674BEE"/>
    <w:rsid w:val="006D56D1"/>
    <w:rsid w:val="006F34CA"/>
    <w:rsid w:val="006F539D"/>
    <w:rsid w:val="00762F5A"/>
    <w:rsid w:val="0076756E"/>
    <w:rsid w:val="00786AA7"/>
    <w:rsid w:val="007D2E61"/>
    <w:rsid w:val="007D5328"/>
    <w:rsid w:val="007E6567"/>
    <w:rsid w:val="0082385C"/>
    <w:rsid w:val="0082424B"/>
    <w:rsid w:val="00834BDA"/>
    <w:rsid w:val="00862C57"/>
    <w:rsid w:val="0086604C"/>
    <w:rsid w:val="008717DE"/>
    <w:rsid w:val="00881FEA"/>
    <w:rsid w:val="00882BAD"/>
    <w:rsid w:val="008C5DCF"/>
    <w:rsid w:val="008E3B2E"/>
    <w:rsid w:val="0091046D"/>
    <w:rsid w:val="00920BAE"/>
    <w:rsid w:val="009264EE"/>
    <w:rsid w:val="00932612"/>
    <w:rsid w:val="00932BC7"/>
    <w:rsid w:val="00946DAD"/>
    <w:rsid w:val="009635EC"/>
    <w:rsid w:val="00971547"/>
    <w:rsid w:val="009A554C"/>
    <w:rsid w:val="009A7869"/>
    <w:rsid w:val="009B7824"/>
    <w:rsid w:val="009C2D88"/>
    <w:rsid w:val="009D1F25"/>
    <w:rsid w:val="009E7013"/>
    <w:rsid w:val="009F6BEF"/>
    <w:rsid w:val="00A505BD"/>
    <w:rsid w:val="00A5459E"/>
    <w:rsid w:val="00A60BC4"/>
    <w:rsid w:val="00A64417"/>
    <w:rsid w:val="00A74601"/>
    <w:rsid w:val="00A81DE7"/>
    <w:rsid w:val="00A83E06"/>
    <w:rsid w:val="00AA23DA"/>
    <w:rsid w:val="00AE40CF"/>
    <w:rsid w:val="00AF1C05"/>
    <w:rsid w:val="00AF683C"/>
    <w:rsid w:val="00B15CC0"/>
    <w:rsid w:val="00B30767"/>
    <w:rsid w:val="00B36461"/>
    <w:rsid w:val="00B401D7"/>
    <w:rsid w:val="00B45456"/>
    <w:rsid w:val="00B52CF8"/>
    <w:rsid w:val="00B9116D"/>
    <w:rsid w:val="00B9311F"/>
    <w:rsid w:val="00BD519E"/>
    <w:rsid w:val="00BE0242"/>
    <w:rsid w:val="00BE05B2"/>
    <w:rsid w:val="00C10783"/>
    <w:rsid w:val="00C329F0"/>
    <w:rsid w:val="00C43B4E"/>
    <w:rsid w:val="00C5220A"/>
    <w:rsid w:val="00C62627"/>
    <w:rsid w:val="00C77ACC"/>
    <w:rsid w:val="00C77E83"/>
    <w:rsid w:val="00C90BE1"/>
    <w:rsid w:val="00C93B10"/>
    <w:rsid w:val="00C95A52"/>
    <w:rsid w:val="00CA3CC3"/>
    <w:rsid w:val="00CA78ED"/>
    <w:rsid w:val="00CB0FB3"/>
    <w:rsid w:val="00CC4F70"/>
    <w:rsid w:val="00CD231B"/>
    <w:rsid w:val="00CE4307"/>
    <w:rsid w:val="00CF3CA3"/>
    <w:rsid w:val="00D25A7A"/>
    <w:rsid w:val="00D36FDD"/>
    <w:rsid w:val="00D42BED"/>
    <w:rsid w:val="00D43C37"/>
    <w:rsid w:val="00D50CE4"/>
    <w:rsid w:val="00D5598A"/>
    <w:rsid w:val="00D90F53"/>
    <w:rsid w:val="00D92402"/>
    <w:rsid w:val="00D97C0B"/>
    <w:rsid w:val="00DD7FED"/>
    <w:rsid w:val="00E0386C"/>
    <w:rsid w:val="00E12445"/>
    <w:rsid w:val="00E26D6A"/>
    <w:rsid w:val="00E330B3"/>
    <w:rsid w:val="00E543CB"/>
    <w:rsid w:val="00E77F91"/>
    <w:rsid w:val="00E804EC"/>
    <w:rsid w:val="00E96E5D"/>
    <w:rsid w:val="00EA76F0"/>
    <w:rsid w:val="00EC4FEA"/>
    <w:rsid w:val="00ED22D5"/>
    <w:rsid w:val="00EE57F4"/>
    <w:rsid w:val="00F03990"/>
    <w:rsid w:val="00F31F36"/>
    <w:rsid w:val="00F35254"/>
    <w:rsid w:val="00F50328"/>
    <w:rsid w:val="00F708CD"/>
    <w:rsid w:val="00F7718F"/>
    <w:rsid w:val="00FA1B91"/>
    <w:rsid w:val="00FC3C3B"/>
    <w:rsid w:val="00FD38C0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65282-ED9E-40C4-86A2-FA3044F7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tyle8">
    <w:name w:val="style8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character" w:customStyle="1" w:styleId="style71">
    <w:name w:val="style71"/>
    <w:rPr>
      <w:rFonts w:ascii="Arial" w:hAnsi="Arial" w:cs="Arial" w:hint="default"/>
      <w:b/>
      <w:bCs/>
    </w:rPr>
  </w:style>
  <w:style w:type="character" w:customStyle="1" w:styleId="style81">
    <w:name w:val="style81"/>
    <w:rPr>
      <w:rFonts w:ascii="Arial" w:hAnsi="Arial" w:cs="Arial" w:hint="defaul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05B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74BEE"/>
    <w:pPr>
      <w:ind w:left="720"/>
    </w:pPr>
  </w:style>
  <w:style w:type="character" w:styleId="CommentReference">
    <w:name w:val="annotation reference"/>
    <w:uiPriority w:val="99"/>
    <w:semiHidden/>
    <w:unhideWhenUsed/>
    <w:rsid w:val="00D42B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ED"/>
  </w:style>
  <w:style w:type="character" w:customStyle="1" w:styleId="CommentTextChar">
    <w:name w:val="Comment Text Char"/>
    <w:link w:val="CommentText"/>
    <w:uiPriority w:val="99"/>
    <w:semiHidden/>
    <w:rsid w:val="00D42B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E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42BE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1C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o-docs.its.txstate.edu/provost-vpaa/office-pps-files/pps8/PPS8-08AttA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xstate.edu/effective/upps/upps-04-04-4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to-docs.its.txstate.edu/provost-vpaa/office-pps-files/pps8/PPS8-08AttA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g12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5FD7-EC51-42D3-8A0D-7986F23E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8.08</vt:lpstr>
    </vt:vector>
  </TitlesOfParts>
  <Company>Texas State University-San Marcos</Company>
  <LinksUpToDate>false</LinksUpToDate>
  <CharactersWithSpaces>7874</CharactersWithSpaces>
  <SharedDoc>false</SharedDoc>
  <HLinks>
    <vt:vector size="30" baseType="variant">
      <vt:variant>
        <vt:i4>5570681</vt:i4>
      </vt:variant>
      <vt:variant>
        <vt:i4>12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http://gato-docs.its.txstate.edu/provost-vpaa/office-pps-files/pps8/PPS8-08AttA.doc</vt:lpwstr>
      </vt:variant>
      <vt:variant>
        <vt:lpwstr/>
      </vt:variant>
      <vt:variant>
        <vt:i4>5636178</vt:i4>
      </vt:variant>
      <vt:variant>
        <vt:i4>6</vt:i4>
      </vt:variant>
      <vt:variant>
        <vt:i4>0</vt:i4>
      </vt:variant>
      <vt:variant>
        <vt:i4>5</vt:i4>
      </vt:variant>
      <vt:variant>
        <vt:lpwstr>http://www.txstate.edu/effective/upps/upps-04-04-46.html</vt:lpwstr>
      </vt:variant>
      <vt:variant>
        <vt:lpwstr/>
      </vt:variant>
      <vt:variant>
        <vt:i4>5636182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http://www.txstate.edu/effective/upps/upps-04-04-42.html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http://gato-docs.its.txstate.edu/provost-vpaa/office-pps-files/pps8/PPS8-08AttA.doc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8.08</dc:title>
  <dc:subject/>
  <dc:creator>Texas State User</dc:creator>
  <cp:keywords/>
  <cp:lastModifiedBy>Holzer, Lucinda M</cp:lastModifiedBy>
  <cp:revision>2</cp:revision>
  <cp:lastPrinted>2014-07-16T15:59:00Z</cp:lastPrinted>
  <dcterms:created xsi:type="dcterms:W3CDTF">2016-02-09T21:11:00Z</dcterms:created>
  <dcterms:modified xsi:type="dcterms:W3CDTF">2016-02-09T21:11:00Z</dcterms:modified>
</cp:coreProperties>
</file>