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BC43" w14:textId="77777777" w:rsidR="00663DB3" w:rsidRDefault="00663DB3" w:rsidP="00177F23">
      <w:pPr>
        <w:tabs>
          <w:tab w:val="left" w:pos="5040"/>
        </w:tabs>
        <w:rPr>
          <w:rFonts w:ascii="Arial" w:eastAsia="Times New Roman" w:hAnsi="Arial" w:cs="Arial"/>
          <w:b/>
        </w:rPr>
      </w:pPr>
    </w:p>
    <w:p w14:paraId="503C4EE6" w14:textId="77777777" w:rsidR="00663DB3" w:rsidRDefault="00663DB3" w:rsidP="00D605D1">
      <w:pPr>
        <w:tabs>
          <w:tab w:val="left" w:pos="5760"/>
        </w:tabs>
        <w:rPr>
          <w:rFonts w:ascii="Arial" w:eastAsia="Times New Roman" w:hAnsi="Arial" w:cs="Arial"/>
          <w:b/>
        </w:rPr>
      </w:pPr>
    </w:p>
    <w:p w14:paraId="34ABB15C" w14:textId="77777777" w:rsidR="00663DB3" w:rsidRDefault="00663DB3" w:rsidP="00D605D1">
      <w:pPr>
        <w:tabs>
          <w:tab w:val="left" w:pos="5760"/>
        </w:tabs>
        <w:rPr>
          <w:rFonts w:ascii="Arial" w:eastAsia="Times New Roman" w:hAnsi="Arial" w:cs="Arial"/>
          <w:b/>
        </w:rPr>
      </w:pPr>
    </w:p>
    <w:p w14:paraId="39BFEE2A" w14:textId="44161245" w:rsidR="00D605D1" w:rsidRPr="005C4A19" w:rsidRDefault="00177F23" w:rsidP="00177F23">
      <w:pPr>
        <w:tabs>
          <w:tab w:val="left" w:pos="5040"/>
        </w:tabs>
        <w:rPr>
          <w:rFonts w:ascii="Arial" w:eastAsia="Times New Roman" w:hAnsi="Arial" w:cs="Arial"/>
          <w:b/>
          <w:bCs/>
        </w:rPr>
      </w:pPr>
      <w:r>
        <w:rPr>
          <w:rFonts w:ascii="Arial" w:eastAsia="Times New Roman" w:hAnsi="Arial" w:cs="Arial"/>
          <w:b/>
        </w:rPr>
        <w:t>Claims</w:t>
      </w:r>
      <w:r w:rsidR="006722D0">
        <w:rPr>
          <w:rFonts w:ascii="Arial" w:eastAsia="Times New Roman" w:hAnsi="Arial" w:cs="Arial"/>
          <w:b/>
        </w:rPr>
        <w:t>, Judgments</w:t>
      </w:r>
      <w:r w:rsidR="00761D81">
        <w:rPr>
          <w:rFonts w:ascii="Arial" w:eastAsia="Times New Roman" w:hAnsi="Arial" w:cs="Arial"/>
          <w:b/>
        </w:rPr>
        <w:t>,</w:t>
      </w:r>
      <w:r>
        <w:rPr>
          <w:rFonts w:ascii="Arial" w:eastAsia="Times New Roman" w:hAnsi="Arial" w:cs="Arial"/>
          <w:b/>
        </w:rPr>
        <w:t xml:space="preserve"> </w:t>
      </w:r>
      <w:r w:rsidR="006722D0">
        <w:rPr>
          <w:rFonts w:ascii="Arial" w:eastAsia="Times New Roman" w:hAnsi="Arial" w:cs="Arial"/>
          <w:b/>
        </w:rPr>
        <w:t>and</w:t>
      </w:r>
      <w:r w:rsidR="00632805">
        <w:rPr>
          <w:rFonts w:ascii="Arial" w:eastAsia="Times New Roman" w:hAnsi="Arial" w:cs="Arial"/>
          <w:b/>
        </w:rPr>
        <w:tab/>
      </w:r>
      <w:r w:rsidR="00D605D1" w:rsidRPr="005C4A19">
        <w:rPr>
          <w:rFonts w:ascii="Arial" w:eastAsia="Times New Roman" w:hAnsi="Arial" w:cs="Arial"/>
          <w:b/>
          <w:bCs/>
        </w:rPr>
        <w:t>UPPS No. 01.04.01</w:t>
      </w:r>
    </w:p>
    <w:p w14:paraId="13208FA3" w14:textId="0C1B2CB3" w:rsidR="00D605D1" w:rsidRPr="005C4A19" w:rsidRDefault="00632805" w:rsidP="00177F23">
      <w:pPr>
        <w:tabs>
          <w:tab w:val="left" w:pos="5040"/>
        </w:tabs>
        <w:rPr>
          <w:rFonts w:ascii="Arial" w:eastAsia="Times New Roman" w:hAnsi="Arial" w:cs="Arial"/>
          <w:b/>
          <w:bCs/>
        </w:rPr>
      </w:pPr>
      <w:r>
        <w:rPr>
          <w:rFonts w:ascii="Arial" w:eastAsia="Times New Roman" w:hAnsi="Arial" w:cs="Arial"/>
          <w:b/>
        </w:rPr>
        <w:t>Settlements Against the University</w:t>
      </w:r>
      <w:r w:rsidR="00D605D1" w:rsidRPr="005C4A19">
        <w:rPr>
          <w:rFonts w:ascii="Arial" w:eastAsia="Times New Roman" w:hAnsi="Arial" w:cs="Arial"/>
          <w:b/>
          <w:bCs/>
        </w:rPr>
        <w:tab/>
        <w:t xml:space="preserve">Issue No. </w:t>
      </w:r>
      <w:r w:rsidR="007E6339">
        <w:rPr>
          <w:rFonts w:ascii="Arial" w:eastAsia="Times New Roman" w:hAnsi="Arial" w:cs="Arial"/>
          <w:b/>
          <w:bCs/>
        </w:rPr>
        <w:t>9</w:t>
      </w:r>
    </w:p>
    <w:p w14:paraId="6333138A" w14:textId="7E4EE862" w:rsidR="00D605D1" w:rsidRPr="005C4A19" w:rsidRDefault="00D605D1" w:rsidP="00177F23">
      <w:pPr>
        <w:tabs>
          <w:tab w:val="left" w:pos="5040"/>
        </w:tabs>
        <w:rPr>
          <w:rFonts w:ascii="Arial" w:eastAsia="Times New Roman" w:hAnsi="Arial" w:cs="Arial"/>
          <w:b/>
          <w:bCs/>
        </w:rPr>
      </w:pPr>
      <w:r w:rsidRPr="005C4A19">
        <w:rPr>
          <w:rFonts w:ascii="Arial" w:eastAsia="Times New Roman" w:hAnsi="Arial" w:cs="Arial"/>
          <w:b/>
          <w:bCs/>
        </w:rPr>
        <w:tab/>
        <w:t xml:space="preserve">Effective Date: </w:t>
      </w:r>
      <w:r w:rsidR="00D5240A">
        <w:rPr>
          <w:rFonts w:ascii="Arial" w:eastAsia="Times New Roman" w:hAnsi="Arial" w:cs="Arial"/>
          <w:b/>
          <w:bCs/>
        </w:rPr>
        <w:t>06/10/2022</w:t>
      </w:r>
    </w:p>
    <w:p w14:paraId="39817F3B" w14:textId="5D26788E" w:rsidR="00177F23" w:rsidRDefault="00D605D1" w:rsidP="00177F23">
      <w:pPr>
        <w:tabs>
          <w:tab w:val="left" w:pos="5040"/>
        </w:tabs>
        <w:rPr>
          <w:rFonts w:ascii="Arial" w:eastAsia="Times New Roman" w:hAnsi="Arial" w:cs="Arial"/>
          <w:b/>
          <w:bCs/>
        </w:rPr>
      </w:pPr>
      <w:r w:rsidRPr="005C4A19">
        <w:rPr>
          <w:rFonts w:ascii="Arial" w:eastAsia="Times New Roman" w:hAnsi="Arial" w:cs="Arial"/>
          <w:b/>
          <w:bCs/>
        </w:rPr>
        <w:tab/>
      </w:r>
      <w:r w:rsidR="00177F23">
        <w:rPr>
          <w:rFonts w:ascii="Arial" w:eastAsia="Times New Roman" w:hAnsi="Arial" w:cs="Arial"/>
          <w:b/>
          <w:bCs/>
        </w:rPr>
        <w:t>Next Review Date: 08/01/20</w:t>
      </w:r>
      <w:r w:rsidR="007E6339">
        <w:rPr>
          <w:rFonts w:ascii="Arial" w:eastAsia="Times New Roman" w:hAnsi="Arial" w:cs="Arial"/>
          <w:b/>
          <w:bCs/>
        </w:rPr>
        <w:t>26</w:t>
      </w:r>
      <w:r w:rsidR="00177F23">
        <w:rPr>
          <w:rFonts w:ascii="Arial" w:eastAsia="Times New Roman" w:hAnsi="Arial" w:cs="Arial"/>
          <w:b/>
          <w:bCs/>
        </w:rPr>
        <w:t xml:space="preserve"> (E4Y)</w:t>
      </w:r>
    </w:p>
    <w:p w14:paraId="37FADC11" w14:textId="77777777" w:rsidR="00177F23" w:rsidRDefault="00177F23" w:rsidP="00177F23">
      <w:pPr>
        <w:tabs>
          <w:tab w:val="left" w:pos="5040"/>
        </w:tabs>
        <w:rPr>
          <w:rFonts w:ascii="Arial" w:eastAsia="Times New Roman" w:hAnsi="Arial" w:cs="Arial"/>
          <w:b/>
          <w:bCs/>
        </w:rPr>
      </w:pPr>
      <w:r>
        <w:rPr>
          <w:rFonts w:ascii="Arial" w:eastAsia="Times New Roman" w:hAnsi="Arial" w:cs="Arial"/>
          <w:b/>
          <w:bCs/>
        </w:rPr>
        <w:tab/>
        <w:t xml:space="preserve">Sr. Reviewer: Vice President for </w:t>
      </w:r>
    </w:p>
    <w:p w14:paraId="2DD945A7" w14:textId="58A312A7" w:rsidR="00177F23" w:rsidRDefault="00177F23" w:rsidP="00177F23">
      <w:pPr>
        <w:tabs>
          <w:tab w:val="left" w:pos="5040"/>
        </w:tabs>
        <w:rPr>
          <w:rFonts w:ascii="Arial" w:eastAsia="Times New Roman" w:hAnsi="Arial" w:cs="Arial"/>
          <w:b/>
          <w:bCs/>
        </w:rPr>
      </w:pPr>
      <w:r>
        <w:rPr>
          <w:rFonts w:ascii="Arial" w:eastAsia="Times New Roman" w:hAnsi="Arial" w:cs="Arial"/>
          <w:b/>
          <w:bCs/>
        </w:rPr>
        <w:tab/>
        <w:t>Finance and Support Services</w:t>
      </w:r>
    </w:p>
    <w:p w14:paraId="030F75E6" w14:textId="24057DB2" w:rsidR="00F21FC9" w:rsidRDefault="00F21FC9" w:rsidP="00177F23">
      <w:pPr>
        <w:tabs>
          <w:tab w:val="left" w:pos="5040"/>
        </w:tabs>
        <w:rPr>
          <w:rFonts w:ascii="Arial" w:eastAsia="Times New Roman" w:hAnsi="Arial" w:cs="Arial"/>
          <w:b/>
          <w:bCs/>
        </w:rPr>
      </w:pPr>
      <w:r>
        <w:rPr>
          <w:rFonts w:ascii="Arial" w:eastAsia="Times New Roman" w:hAnsi="Arial" w:cs="Arial"/>
          <w:b/>
          <w:bCs/>
        </w:rPr>
        <w:tab/>
      </w:r>
    </w:p>
    <w:p w14:paraId="5A62B6C3" w14:textId="3435E4C6" w:rsidR="008634BB" w:rsidRDefault="008634BB" w:rsidP="003C54E3">
      <w:pPr>
        <w:tabs>
          <w:tab w:val="left" w:pos="5040"/>
        </w:tabs>
        <w:rPr>
          <w:rFonts w:ascii="Arial" w:eastAsia="Times New Roman" w:hAnsi="Arial" w:cs="Arial"/>
          <w:b/>
          <w:bCs/>
        </w:rPr>
      </w:pPr>
    </w:p>
    <w:p w14:paraId="12964C6F" w14:textId="77777777" w:rsidR="00D5240A" w:rsidRDefault="00D5240A" w:rsidP="003C54E3">
      <w:pPr>
        <w:tabs>
          <w:tab w:val="left" w:pos="5040"/>
        </w:tabs>
        <w:rPr>
          <w:rFonts w:ascii="Arial" w:eastAsia="Times New Roman" w:hAnsi="Arial" w:cs="Arial"/>
          <w:b/>
          <w:bCs/>
        </w:rPr>
      </w:pPr>
    </w:p>
    <w:p w14:paraId="5574B87C" w14:textId="77777777" w:rsidR="00331C07" w:rsidRDefault="00331C07" w:rsidP="003C54E3">
      <w:pPr>
        <w:tabs>
          <w:tab w:val="left" w:pos="5040"/>
        </w:tabs>
        <w:rPr>
          <w:rFonts w:ascii="Arial" w:eastAsia="Times New Roman" w:hAnsi="Arial" w:cs="Arial"/>
          <w:b/>
          <w:bCs/>
        </w:rPr>
      </w:pPr>
      <w:r>
        <w:rPr>
          <w:rFonts w:ascii="Arial" w:eastAsia="Times New Roman" w:hAnsi="Arial" w:cs="Arial"/>
          <w:b/>
          <w:bCs/>
        </w:rPr>
        <w:t>POLICY STATEMENT</w:t>
      </w:r>
    </w:p>
    <w:p w14:paraId="142CD904" w14:textId="77777777" w:rsidR="00D5240A" w:rsidRDefault="00D5240A" w:rsidP="003C54E3">
      <w:pPr>
        <w:tabs>
          <w:tab w:val="left" w:pos="5040"/>
        </w:tabs>
        <w:rPr>
          <w:rFonts w:ascii="Arial" w:eastAsia="Times New Roman" w:hAnsi="Arial" w:cs="Arial"/>
          <w:i/>
          <w:iCs/>
        </w:rPr>
      </w:pPr>
    </w:p>
    <w:p w14:paraId="0351EA78" w14:textId="2AFF0343" w:rsidR="00D605D1" w:rsidRPr="00331C07" w:rsidRDefault="00331C07" w:rsidP="003C54E3">
      <w:pPr>
        <w:tabs>
          <w:tab w:val="left" w:pos="5040"/>
        </w:tabs>
        <w:rPr>
          <w:rFonts w:ascii="Arial" w:eastAsia="Times New Roman" w:hAnsi="Arial" w:cs="Arial"/>
        </w:rPr>
      </w:pPr>
      <w:r w:rsidRPr="00331C07">
        <w:rPr>
          <w:rFonts w:ascii="Arial" w:eastAsia="Times New Roman" w:hAnsi="Arial" w:cs="Arial"/>
          <w:i/>
          <w:iCs/>
        </w:rPr>
        <w:t xml:space="preserve">Texas State University is committed to following proper legal processes for claims and settlements resulting from claims filed against the university. </w:t>
      </w:r>
      <w:r w:rsidR="008634BB" w:rsidRPr="00331C07">
        <w:rPr>
          <w:rFonts w:ascii="Arial" w:eastAsia="Times New Roman" w:hAnsi="Arial" w:cs="Arial"/>
        </w:rPr>
        <w:t xml:space="preserve"> </w:t>
      </w:r>
      <w:r w:rsidR="00D0044D" w:rsidRPr="00331C07">
        <w:rPr>
          <w:rFonts w:ascii="Arial" w:eastAsia="Times New Roman" w:hAnsi="Arial" w:cs="Arial"/>
        </w:rPr>
        <w:tab/>
      </w:r>
    </w:p>
    <w:p w14:paraId="789CA60D" w14:textId="77777777" w:rsidR="00C0084C" w:rsidRPr="00D605D1" w:rsidRDefault="00C0084C" w:rsidP="00D605D1">
      <w:pPr>
        <w:tabs>
          <w:tab w:val="left" w:pos="5760"/>
        </w:tabs>
        <w:rPr>
          <w:rFonts w:ascii="Arial" w:eastAsia="Times New Roman" w:hAnsi="Arial" w:cs="Arial"/>
        </w:rPr>
      </w:pPr>
    </w:p>
    <w:p w14:paraId="2C9B443A" w14:textId="46FA95D7" w:rsidR="00D605D1" w:rsidRPr="005C4A19" w:rsidRDefault="00D605D1" w:rsidP="00DB0412">
      <w:pPr>
        <w:tabs>
          <w:tab w:val="left" w:pos="720"/>
        </w:tabs>
        <w:ind w:left="720" w:hanging="720"/>
        <w:rPr>
          <w:rFonts w:ascii="Arial" w:eastAsia="Times New Roman" w:hAnsi="Arial" w:cs="Arial"/>
          <w:b/>
        </w:rPr>
      </w:pPr>
      <w:r w:rsidRPr="005C4A19">
        <w:rPr>
          <w:rFonts w:ascii="Arial" w:eastAsia="Times New Roman" w:hAnsi="Arial" w:cs="Arial"/>
          <w:b/>
        </w:rPr>
        <w:t>01.</w:t>
      </w:r>
      <w:r w:rsidRPr="005C4A19">
        <w:rPr>
          <w:rFonts w:ascii="Arial" w:eastAsia="Times New Roman" w:hAnsi="Arial" w:cs="Arial"/>
          <w:b/>
        </w:rPr>
        <w:tab/>
      </w:r>
      <w:r w:rsidR="00A60252">
        <w:rPr>
          <w:rFonts w:ascii="Arial" w:eastAsia="Times New Roman" w:hAnsi="Arial" w:cs="Arial"/>
          <w:b/>
        </w:rPr>
        <w:t>SCOPE</w:t>
      </w:r>
    </w:p>
    <w:p w14:paraId="5B952715" w14:textId="77777777" w:rsidR="00D605D1" w:rsidRPr="00D605D1" w:rsidRDefault="00D605D1" w:rsidP="00D605D1">
      <w:pPr>
        <w:rPr>
          <w:rFonts w:ascii="Arial" w:eastAsia="Times New Roman" w:hAnsi="Arial" w:cs="Arial"/>
        </w:rPr>
      </w:pPr>
    </w:p>
    <w:p w14:paraId="04092B72" w14:textId="0B57D313" w:rsidR="00D605D1" w:rsidRPr="00D605D1" w:rsidRDefault="00D605D1" w:rsidP="00D605D1">
      <w:pPr>
        <w:ind w:left="1440" w:hanging="720"/>
        <w:rPr>
          <w:rFonts w:ascii="Arial" w:eastAsia="Times New Roman" w:hAnsi="Arial" w:cs="Arial"/>
        </w:rPr>
      </w:pPr>
      <w:r w:rsidRPr="00D605D1">
        <w:rPr>
          <w:rFonts w:ascii="Arial" w:eastAsia="Times New Roman" w:hAnsi="Arial" w:cs="Arial"/>
        </w:rPr>
        <w:t>01.01</w:t>
      </w:r>
      <w:r w:rsidRPr="00D605D1">
        <w:rPr>
          <w:rFonts w:ascii="Arial" w:eastAsia="Times New Roman" w:hAnsi="Arial" w:cs="Arial"/>
        </w:rPr>
        <w:tab/>
        <w:t xml:space="preserve">This </w:t>
      </w:r>
      <w:r w:rsidR="00811AAA">
        <w:rPr>
          <w:rFonts w:ascii="Arial" w:eastAsia="Times New Roman" w:hAnsi="Arial" w:cs="Arial"/>
        </w:rPr>
        <w:t>policy</w:t>
      </w:r>
      <w:r w:rsidR="00811AAA" w:rsidRPr="00D605D1">
        <w:rPr>
          <w:rFonts w:ascii="Arial" w:eastAsia="Times New Roman" w:hAnsi="Arial" w:cs="Arial"/>
        </w:rPr>
        <w:t xml:space="preserve"> </w:t>
      </w:r>
      <w:r w:rsidRPr="00D605D1">
        <w:rPr>
          <w:rFonts w:ascii="Arial" w:eastAsia="Times New Roman" w:hAnsi="Arial" w:cs="Arial"/>
        </w:rPr>
        <w:t xml:space="preserve">describes </w:t>
      </w:r>
      <w:r w:rsidR="00DF76C5">
        <w:rPr>
          <w:rFonts w:ascii="Arial" w:eastAsia="Times New Roman" w:hAnsi="Arial" w:cs="Arial"/>
        </w:rPr>
        <w:t>Texas State University’s procedures</w:t>
      </w:r>
      <w:r w:rsidRPr="00D605D1">
        <w:rPr>
          <w:rFonts w:ascii="Arial" w:eastAsia="Times New Roman" w:hAnsi="Arial" w:cs="Arial"/>
        </w:rPr>
        <w:t xml:space="preserve"> regarding the payment of claims </w:t>
      </w:r>
      <w:r w:rsidR="00D06AAF">
        <w:rPr>
          <w:rFonts w:ascii="Arial" w:eastAsia="Times New Roman" w:hAnsi="Arial" w:cs="Arial"/>
        </w:rPr>
        <w:t>or settlements by</w:t>
      </w:r>
      <w:r w:rsidR="00D06AAF" w:rsidRPr="00D605D1">
        <w:rPr>
          <w:rFonts w:ascii="Arial" w:eastAsia="Times New Roman" w:hAnsi="Arial" w:cs="Arial"/>
        </w:rPr>
        <w:t xml:space="preserve"> </w:t>
      </w:r>
      <w:r w:rsidRPr="00D605D1">
        <w:rPr>
          <w:rFonts w:ascii="Arial" w:eastAsia="Times New Roman" w:hAnsi="Arial" w:cs="Arial"/>
        </w:rPr>
        <w:t>the university. It also explains the procedure for filing a claim against the university.</w:t>
      </w:r>
    </w:p>
    <w:p w14:paraId="6ED46D95" w14:textId="77777777" w:rsidR="00D605D1" w:rsidRPr="00D605D1" w:rsidRDefault="00D605D1" w:rsidP="00D605D1">
      <w:pPr>
        <w:rPr>
          <w:rFonts w:ascii="Arial" w:eastAsia="Times New Roman" w:hAnsi="Arial" w:cs="Arial"/>
        </w:rPr>
      </w:pPr>
    </w:p>
    <w:p w14:paraId="667CDDAB" w14:textId="77777777" w:rsidR="00D605D1" w:rsidRPr="005C4A19" w:rsidRDefault="00D605D1" w:rsidP="00D605D1">
      <w:pPr>
        <w:rPr>
          <w:rFonts w:ascii="Arial" w:eastAsia="Times New Roman" w:hAnsi="Arial" w:cs="Arial"/>
          <w:b/>
        </w:rPr>
      </w:pPr>
      <w:r w:rsidRPr="005C4A19">
        <w:rPr>
          <w:rFonts w:ascii="Arial" w:eastAsia="Times New Roman" w:hAnsi="Arial" w:cs="Arial"/>
          <w:b/>
        </w:rPr>
        <w:t>02.</w:t>
      </w:r>
      <w:r w:rsidRPr="005C4A19">
        <w:rPr>
          <w:rFonts w:ascii="Arial" w:eastAsia="Times New Roman" w:hAnsi="Arial" w:cs="Arial"/>
          <w:b/>
        </w:rPr>
        <w:tab/>
        <w:t>LEGAL AUTHORITY</w:t>
      </w:r>
    </w:p>
    <w:p w14:paraId="5F50E2BA" w14:textId="77777777" w:rsidR="00D605D1" w:rsidRPr="00D605D1" w:rsidRDefault="00D605D1" w:rsidP="00D605D1">
      <w:pPr>
        <w:rPr>
          <w:rFonts w:ascii="Arial" w:eastAsia="Times New Roman" w:hAnsi="Arial" w:cs="Arial"/>
        </w:rPr>
      </w:pPr>
    </w:p>
    <w:p w14:paraId="3D16F235" w14:textId="41D91285" w:rsidR="00D605D1" w:rsidRPr="00C0084C" w:rsidRDefault="00D605D1" w:rsidP="00D605D1">
      <w:pPr>
        <w:tabs>
          <w:tab w:val="left" w:pos="1440"/>
        </w:tabs>
        <w:ind w:left="1440" w:hanging="720"/>
        <w:rPr>
          <w:rFonts w:ascii="Arial" w:eastAsia="Times New Roman" w:hAnsi="Arial" w:cs="Arial"/>
        </w:rPr>
      </w:pPr>
      <w:r w:rsidRPr="00D605D1">
        <w:rPr>
          <w:rFonts w:ascii="Arial" w:eastAsia="Times New Roman" w:hAnsi="Arial" w:cs="Arial"/>
        </w:rPr>
        <w:t>02.01</w:t>
      </w:r>
      <w:r w:rsidRPr="00D605D1">
        <w:rPr>
          <w:rFonts w:ascii="Arial" w:eastAsia="Times New Roman" w:hAnsi="Arial" w:cs="Arial"/>
        </w:rPr>
        <w:tab/>
      </w:r>
      <w:r w:rsidR="00C0084C" w:rsidRPr="00C0084C">
        <w:rPr>
          <w:rFonts w:ascii="Arial" w:hAnsi="Arial" w:cs="Arial"/>
          <w:iCs/>
        </w:rPr>
        <w:t xml:space="preserve">The </w:t>
      </w:r>
      <w:hyperlink r:id="rId11" w:history="1">
        <w:r w:rsidR="00C0084C" w:rsidRPr="00D0044D">
          <w:rPr>
            <w:rStyle w:val="Hyperlink"/>
            <w:rFonts w:ascii="Arial" w:hAnsi="Arial" w:cs="Arial"/>
            <w:iCs/>
          </w:rPr>
          <w:t>Texas Tort Claims Act</w:t>
        </w:r>
        <w:r w:rsidR="00663DB3" w:rsidRPr="00D0044D">
          <w:rPr>
            <w:rStyle w:val="Hyperlink"/>
            <w:rFonts w:ascii="Arial" w:hAnsi="Arial" w:cs="Arial"/>
            <w:iCs/>
          </w:rPr>
          <w:t xml:space="preserve"> </w:t>
        </w:r>
        <w:r w:rsidR="00C0084C" w:rsidRPr="00D0044D">
          <w:rPr>
            <w:rStyle w:val="Hyperlink"/>
            <w:rFonts w:ascii="Arial" w:hAnsi="Arial" w:cs="Arial"/>
            <w:iCs/>
          </w:rPr>
          <w:t>(Civil Practice and Remedies Code, Chapter 101</w:t>
        </w:r>
      </w:hyperlink>
      <w:r w:rsidR="00C0084C" w:rsidRPr="00C0084C">
        <w:rPr>
          <w:rFonts w:ascii="Arial" w:hAnsi="Arial" w:cs="Arial"/>
          <w:iCs/>
        </w:rPr>
        <w:t xml:space="preserve">) provides that a governmental entity may be liable for property damage, personal injury, and death proximately caused by the wrongful act or omission or the negligence of an employee acting within </w:t>
      </w:r>
      <w:r w:rsidR="00637822">
        <w:rPr>
          <w:rFonts w:ascii="Arial" w:hAnsi="Arial" w:cs="Arial"/>
          <w:iCs/>
        </w:rPr>
        <w:t>their</w:t>
      </w:r>
      <w:r w:rsidR="00C0084C" w:rsidRPr="00C0084C">
        <w:rPr>
          <w:rFonts w:ascii="Arial" w:hAnsi="Arial" w:cs="Arial"/>
          <w:iCs/>
        </w:rPr>
        <w:t xml:space="preserve"> scope of employment if such property damage, personal injury, or death arises from the operation or use of a motor-driven vehicle or motor-driven equipment, or if such personal injury or death was caused by a condition or use of tangible personal or real property</w:t>
      </w:r>
      <w:r w:rsidRPr="00C0084C">
        <w:rPr>
          <w:rFonts w:ascii="Arial" w:eastAsia="Times New Roman" w:hAnsi="Arial" w:cs="Arial"/>
        </w:rPr>
        <w:t>.</w:t>
      </w:r>
    </w:p>
    <w:p w14:paraId="34569FAA" w14:textId="77777777" w:rsidR="00D605D1" w:rsidRPr="00D605D1" w:rsidRDefault="00D605D1" w:rsidP="00D605D1">
      <w:pPr>
        <w:rPr>
          <w:rFonts w:ascii="Arial" w:eastAsia="Times New Roman" w:hAnsi="Arial" w:cs="Arial"/>
        </w:rPr>
      </w:pPr>
    </w:p>
    <w:p w14:paraId="7A381060" w14:textId="581F29E8" w:rsidR="00D605D1" w:rsidRPr="00D605D1" w:rsidRDefault="00D605D1" w:rsidP="00D605D1">
      <w:pPr>
        <w:tabs>
          <w:tab w:val="left" w:pos="1800"/>
        </w:tabs>
        <w:ind w:left="1800" w:hanging="360"/>
        <w:rPr>
          <w:rFonts w:ascii="Arial" w:eastAsia="Times New Roman" w:hAnsi="Arial" w:cs="Arial"/>
        </w:rPr>
      </w:pPr>
      <w:r w:rsidRPr="00D605D1">
        <w:rPr>
          <w:rFonts w:ascii="Arial" w:eastAsia="Times New Roman" w:hAnsi="Arial" w:cs="Arial"/>
        </w:rPr>
        <w:t>a.</w:t>
      </w:r>
      <w:r w:rsidRPr="00D605D1">
        <w:rPr>
          <w:rFonts w:ascii="Arial" w:eastAsia="Times New Roman" w:hAnsi="Arial" w:cs="Arial"/>
        </w:rPr>
        <w:tab/>
        <w:t>The state's liability under t</w:t>
      </w:r>
      <w:r w:rsidR="00D5240A">
        <w:rPr>
          <w:rFonts w:ascii="Arial" w:eastAsia="Times New Roman" w:hAnsi="Arial" w:cs="Arial"/>
        </w:rPr>
        <w:t>he</w:t>
      </w:r>
      <w:r w:rsidRPr="00D605D1">
        <w:rPr>
          <w:rFonts w:ascii="Arial" w:eastAsia="Times New Roman" w:hAnsi="Arial" w:cs="Arial"/>
        </w:rPr>
        <w:t xml:space="preserve"> </w:t>
      </w:r>
      <w:hyperlink r:id="rId12" w:history="1">
        <w:r w:rsidR="00D5240A" w:rsidRPr="00D5240A">
          <w:rPr>
            <w:rStyle w:val="Hyperlink"/>
            <w:rFonts w:ascii="Arial" w:eastAsia="Times New Roman" w:hAnsi="Arial" w:cs="Arial"/>
          </w:rPr>
          <w:t xml:space="preserve">Texas Tort Claims </w:t>
        </w:r>
        <w:r w:rsidRPr="00D5240A">
          <w:rPr>
            <w:rStyle w:val="Hyperlink"/>
            <w:rFonts w:ascii="Arial" w:eastAsia="Times New Roman" w:hAnsi="Arial" w:cs="Arial"/>
          </w:rPr>
          <w:t>Act</w:t>
        </w:r>
      </w:hyperlink>
      <w:r w:rsidRPr="00D605D1">
        <w:rPr>
          <w:rFonts w:ascii="Arial" w:eastAsia="Times New Roman" w:hAnsi="Arial" w:cs="Arial"/>
        </w:rPr>
        <w:t xml:space="preserve"> is limited to $250,000 per person and $500,000 for any single occurrence for bodily injury or death, and $100,000 for any single occurrence for injury to or destruction of property.</w:t>
      </w:r>
    </w:p>
    <w:p w14:paraId="53D927FD" w14:textId="77777777" w:rsidR="00D605D1" w:rsidRPr="00D605D1" w:rsidRDefault="00D605D1" w:rsidP="00D605D1">
      <w:pPr>
        <w:ind w:left="1800" w:hanging="360"/>
        <w:rPr>
          <w:rFonts w:ascii="Arial" w:eastAsia="Times New Roman" w:hAnsi="Arial" w:cs="Arial"/>
        </w:rPr>
      </w:pPr>
    </w:p>
    <w:p w14:paraId="4CDFEB27" w14:textId="3DD1B496" w:rsidR="00D605D1" w:rsidRPr="00D605D1" w:rsidRDefault="00D605D1" w:rsidP="00D605D1">
      <w:pPr>
        <w:ind w:left="1800" w:hanging="360"/>
        <w:rPr>
          <w:rFonts w:ascii="Arial" w:eastAsia="Times New Roman" w:hAnsi="Arial" w:cs="Arial"/>
        </w:rPr>
      </w:pPr>
      <w:r w:rsidRPr="00D605D1">
        <w:rPr>
          <w:rFonts w:ascii="Arial" w:eastAsia="Times New Roman" w:hAnsi="Arial" w:cs="Arial"/>
        </w:rPr>
        <w:t>b.</w:t>
      </w:r>
      <w:r w:rsidRPr="00D605D1">
        <w:rPr>
          <w:rFonts w:ascii="Arial" w:eastAsia="Times New Roman" w:hAnsi="Arial" w:cs="Arial"/>
        </w:rPr>
        <w:tab/>
        <w:t>Except when the university, its agents</w:t>
      </w:r>
      <w:r w:rsidR="00663DB3">
        <w:rPr>
          <w:rFonts w:ascii="Arial" w:eastAsia="Times New Roman" w:hAnsi="Arial" w:cs="Arial"/>
        </w:rPr>
        <w:t>,</w:t>
      </w:r>
      <w:r w:rsidRPr="00D605D1">
        <w:rPr>
          <w:rFonts w:ascii="Arial" w:eastAsia="Times New Roman" w:hAnsi="Arial" w:cs="Arial"/>
        </w:rPr>
        <w:t xml:space="preserve"> o</w:t>
      </w:r>
      <w:r w:rsidR="00C0084C">
        <w:rPr>
          <w:rFonts w:ascii="Arial" w:eastAsia="Times New Roman" w:hAnsi="Arial" w:cs="Arial"/>
        </w:rPr>
        <w:t>r employees have received actual</w:t>
      </w:r>
      <w:r w:rsidRPr="00D605D1">
        <w:rPr>
          <w:rFonts w:ascii="Arial" w:eastAsia="Times New Roman" w:hAnsi="Arial" w:cs="Arial"/>
        </w:rPr>
        <w:t xml:space="preserve"> notice that death has occurred or the claimant received an injury or property damage, any person making a claim under the </w:t>
      </w:r>
      <w:hyperlink r:id="rId13" w:history="1">
        <w:r w:rsidR="00D5240A" w:rsidRPr="00D5240A">
          <w:rPr>
            <w:rStyle w:val="Hyperlink"/>
            <w:rFonts w:ascii="Arial" w:eastAsia="Times New Roman" w:hAnsi="Arial" w:cs="Arial"/>
          </w:rPr>
          <w:t>Texas Tort Claims Act</w:t>
        </w:r>
      </w:hyperlink>
      <w:r w:rsidRPr="00D605D1">
        <w:rPr>
          <w:rFonts w:ascii="Arial" w:eastAsia="Times New Roman" w:hAnsi="Arial" w:cs="Arial"/>
        </w:rPr>
        <w:t xml:space="preserve"> must give notice to the university within six months from the date of the incident.</w:t>
      </w:r>
    </w:p>
    <w:p w14:paraId="454D13A1" w14:textId="77777777" w:rsidR="00D605D1" w:rsidRPr="00D605D1" w:rsidRDefault="00D605D1" w:rsidP="00D605D1">
      <w:pPr>
        <w:rPr>
          <w:rFonts w:ascii="Arial" w:eastAsia="Times New Roman" w:hAnsi="Arial" w:cs="Arial"/>
        </w:rPr>
      </w:pPr>
    </w:p>
    <w:p w14:paraId="38F6E6DF" w14:textId="4685FA8F" w:rsidR="00663DB3" w:rsidRDefault="00D605D1" w:rsidP="005F6E6F">
      <w:pPr>
        <w:tabs>
          <w:tab w:val="left" w:pos="1440"/>
        </w:tabs>
        <w:ind w:left="1440" w:hanging="720"/>
        <w:rPr>
          <w:rFonts w:ascii="Arial" w:eastAsia="Times New Roman" w:hAnsi="Arial" w:cs="Arial"/>
        </w:rPr>
      </w:pPr>
      <w:r w:rsidRPr="00D605D1">
        <w:rPr>
          <w:rFonts w:ascii="Arial" w:eastAsia="Times New Roman" w:hAnsi="Arial" w:cs="Arial"/>
        </w:rPr>
        <w:lastRenderedPageBreak/>
        <w:t>02.02</w:t>
      </w:r>
      <w:r w:rsidRPr="00D605D1">
        <w:rPr>
          <w:rFonts w:ascii="Arial" w:eastAsia="Times New Roman" w:hAnsi="Arial" w:cs="Arial"/>
        </w:rPr>
        <w:tab/>
      </w:r>
      <w:hyperlink r:id="rId14" w:history="1">
        <w:r w:rsidR="00C0084C" w:rsidRPr="00D0044D">
          <w:rPr>
            <w:rStyle w:val="Hyperlink"/>
            <w:rFonts w:ascii="Arial" w:hAnsi="Arial" w:cs="Arial"/>
          </w:rPr>
          <w:t xml:space="preserve">Section 104.001 of the </w:t>
        </w:r>
        <w:r w:rsidR="00663DB3" w:rsidRPr="00D0044D">
          <w:rPr>
            <w:rStyle w:val="Hyperlink"/>
            <w:rFonts w:ascii="Arial" w:hAnsi="Arial" w:cs="Arial"/>
          </w:rPr>
          <w:t xml:space="preserve">Texas Tort Claims </w:t>
        </w:r>
        <w:r w:rsidR="00C0084C" w:rsidRPr="00D0044D">
          <w:rPr>
            <w:rStyle w:val="Hyperlink"/>
            <w:rFonts w:ascii="Arial" w:hAnsi="Arial" w:cs="Arial"/>
          </w:rPr>
          <w:t>Act (Civil Practice and Remedies Code, Chapter 104)</w:t>
        </w:r>
      </w:hyperlink>
      <w:r w:rsidR="00C0084C" w:rsidRPr="00C0084C">
        <w:rPr>
          <w:rFonts w:ascii="Arial" w:hAnsi="Arial" w:cs="Arial"/>
        </w:rPr>
        <w:t xml:space="preserve"> provides that the state will indemnify state employees for actual damages, court costs, and attorney’s fees adjudged against them for claims arising from an act or omission by the state employee in the course of </w:t>
      </w:r>
      <w:r w:rsidR="00343E86">
        <w:rPr>
          <w:rFonts w:ascii="Arial" w:hAnsi="Arial" w:cs="Arial"/>
        </w:rPr>
        <w:t>their</w:t>
      </w:r>
      <w:r w:rsidR="00C0084C" w:rsidRPr="00C0084C">
        <w:rPr>
          <w:rFonts w:ascii="Arial" w:hAnsi="Arial" w:cs="Arial"/>
        </w:rPr>
        <w:t xml:space="preserve"> employment with the state.</w:t>
      </w:r>
    </w:p>
    <w:p w14:paraId="7303DB9D" w14:textId="77777777" w:rsidR="00663DB3" w:rsidRDefault="00663DB3" w:rsidP="00663DB3">
      <w:pPr>
        <w:tabs>
          <w:tab w:val="left" w:pos="1440"/>
        </w:tabs>
        <w:ind w:left="1440" w:hanging="720"/>
        <w:rPr>
          <w:rFonts w:ascii="Arial" w:eastAsia="Times New Roman" w:hAnsi="Arial" w:cs="Arial"/>
        </w:rPr>
      </w:pPr>
    </w:p>
    <w:p w14:paraId="760D17BC" w14:textId="77777777" w:rsidR="00D605D1" w:rsidRPr="00D605D1" w:rsidRDefault="00663DB3" w:rsidP="00A36598">
      <w:pPr>
        <w:tabs>
          <w:tab w:val="left" w:pos="1440"/>
        </w:tabs>
        <w:ind w:left="1440" w:hanging="720"/>
        <w:rPr>
          <w:rFonts w:ascii="Arial" w:eastAsia="Times New Roman" w:hAnsi="Arial" w:cs="Arial"/>
        </w:rPr>
      </w:pPr>
      <w:r w:rsidRPr="00D605D1">
        <w:rPr>
          <w:rFonts w:ascii="Arial" w:eastAsia="Times New Roman" w:hAnsi="Arial" w:cs="Arial"/>
        </w:rPr>
        <w:t>02.03</w:t>
      </w:r>
      <w:r w:rsidRPr="00D605D1">
        <w:rPr>
          <w:rFonts w:ascii="Arial" w:eastAsia="Times New Roman" w:hAnsi="Arial" w:cs="Arial"/>
        </w:rPr>
        <w:tab/>
        <w:t>The state may not expend f</w:t>
      </w:r>
      <w:r w:rsidRPr="00D605D1">
        <w:rPr>
          <w:rFonts w:ascii="Arial" w:eastAsia="Calibri" w:hAnsi="Arial" w:cs="Arial"/>
        </w:rPr>
        <w:t xml:space="preserve">unds appropriated by the </w:t>
      </w:r>
      <w:hyperlink r:id="rId15" w:history="1">
        <w:r w:rsidRPr="00D0044D">
          <w:rPr>
            <w:rStyle w:val="Hyperlink"/>
            <w:rFonts w:ascii="Arial" w:eastAsia="Calibri" w:hAnsi="Arial" w:cs="Arial"/>
          </w:rPr>
          <w:t>General Appropriations Act (GAA),</w:t>
        </w:r>
      </w:hyperlink>
      <w:r w:rsidRPr="00D605D1">
        <w:rPr>
          <w:rFonts w:ascii="Arial" w:eastAsia="Calibri" w:hAnsi="Arial" w:cs="Arial"/>
        </w:rPr>
        <w:t xml:space="preserve"> including those made in </w:t>
      </w:r>
      <w:hyperlink r:id="rId16" w:history="1">
        <w:r w:rsidRPr="004E6920">
          <w:rPr>
            <w:rStyle w:val="Hyperlink"/>
            <w:rFonts w:ascii="Arial" w:eastAsia="Calibri" w:hAnsi="Arial" w:cs="Arial"/>
          </w:rPr>
          <w:t>GAA Article X</w:t>
        </w:r>
      </w:hyperlink>
      <w:r w:rsidRPr="00D605D1">
        <w:rPr>
          <w:rFonts w:ascii="Arial" w:eastAsia="Calibri" w:hAnsi="Arial" w:cs="Arial"/>
        </w:rPr>
        <w:t>, for</w:t>
      </w:r>
      <w:r w:rsidR="00177F23">
        <w:rPr>
          <w:rFonts w:ascii="Arial" w:eastAsia="Calibri" w:hAnsi="Arial" w:cs="Arial"/>
        </w:rPr>
        <w:t xml:space="preserve"> </w:t>
      </w:r>
      <w:r w:rsidR="00D605D1" w:rsidRPr="00D605D1">
        <w:rPr>
          <w:rFonts w:ascii="Arial" w:eastAsia="Calibri" w:hAnsi="Arial" w:cs="Arial"/>
        </w:rPr>
        <w:t>payment of a judgment or settlement prosecuted or defended by the attorney general and obtained against the state or a state agency</w:t>
      </w:r>
      <w:r>
        <w:rPr>
          <w:rFonts w:ascii="Arial" w:eastAsia="Calibri" w:hAnsi="Arial" w:cs="Arial"/>
        </w:rPr>
        <w:t>,</w:t>
      </w:r>
      <w:r w:rsidR="00D605D1" w:rsidRPr="00D605D1">
        <w:rPr>
          <w:rFonts w:ascii="Arial" w:eastAsia="Calibri" w:hAnsi="Arial" w:cs="Arial"/>
        </w:rPr>
        <w:t xml:space="preserve"> except in certain cases described in </w:t>
      </w:r>
      <w:hyperlink r:id="rId17" w:history="1">
        <w:r w:rsidR="00D605D1" w:rsidRPr="004E6920">
          <w:rPr>
            <w:rStyle w:val="Hyperlink"/>
            <w:rFonts w:ascii="Arial" w:eastAsia="Calibri" w:hAnsi="Arial" w:cs="Arial"/>
          </w:rPr>
          <w:t>GAA Article IX</w:t>
        </w:r>
      </w:hyperlink>
      <w:r w:rsidR="00D605D1" w:rsidRPr="00D605D1">
        <w:rPr>
          <w:rFonts w:ascii="Arial" w:eastAsia="Calibri" w:hAnsi="Arial" w:cs="Arial"/>
        </w:rPr>
        <w:t>, Sections 16.02 and 16.03.</w:t>
      </w:r>
    </w:p>
    <w:p w14:paraId="6F547151" w14:textId="77777777" w:rsidR="00D605D1" w:rsidRPr="00D605D1" w:rsidRDefault="00D605D1" w:rsidP="00D605D1">
      <w:pPr>
        <w:adjustRightInd w:val="0"/>
        <w:ind w:left="840"/>
        <w:contextualSpacing/>
        <w:rPr>
          <w:rFonts w:ascii="Arial" w:eastAsia="Times New Roman" w:hAnsi="Arial" w:cs="Arial"/>
          <w:sz w:val="20"/>
          <w:szCs w:val="20"/>
        </w:rPr>
      </w:pPr>
    </w:p>
    <w:p w14:paraId="44E6A717" w14:textId="77777777" w:rsidR="0009630F" w:rsidRPr="00D605D1" w:rsidRDefault="0009630F" w:rsidP="0009630F">
      <w:pPr>
        <w:numPr>
          <w:ilvl w:val="1"/>
          <w:numId w:val="1"/>
        </w:numPr>
        <w:tabs>
          <w:tab w:val="left" w:pos="1440"/>
        </w:tabs>
        <w:adjustRightInd w:val="0"/>
        <w:ind w:left="1440" w:hanging="720"/>
        <w:contextualSpacing/>
        <w:rPr>
          <w:rFonts w:ascii="Arial" w:eastAsia="Times New Roman" w:hAnsi="Arial" w:cs="Arial"/>
        </w:rPr>
      </w:pPr>
      <w:r w:rsidRPr="00D605D1">
        <w:rPr>
          <w:rFonts w:ascii="Arial" w:eastAsia="Times New Roman" w:hAnsi="Arial" w:cs="Arial"/>
        </w:rPr>
        <w:t xml:space="preserve">The </w:t>
      </w:r>
      <w:r>
        <w:rPr>
          <w:rFonts w:ascii="Arial" w:eastAsia="Times New Roman" w:hAnsi="Arial" w:cs="Arial"/>
        </w:rPr>
        <w:t xml:space="preserve">university is required </w:t>
      </w:r>
      <w:r w:rsidRPr="00D605D1">
        <w:rPr>
          <w:rFonts w:ascii="Arial" w:eastAsia="Times New Roman" w:hAnsi="Arial" w:cs="Arial"/>
        </w:rPr>
        <w:t>to report any employment-related judgments or settlements that the Internal Revenue Service (IRS) defines as wages</w:t>
      </w:r>
      <w:r>
        <w:rPr>
          <w:rFonts w:ascii="Arial" w:eastAsia="Times New Roman" w:hAnsi="Arial" w:cs="Arial"/>
        </w:rPr>
        <w:t>,</w:t>
      </w:r>
      <w:r w:rsidRPr="00D605D1">
        <w:rPr>
          <w:rFonts w:ascii="Arial" w:eastAsia="Times New Roman" w:hAnsi="Arial" w:cs="Arial"/>
        </w:rPr>
        <w:t xml:space="preserve"> to the IRS and the Social Security Administration (SSA).</w:t>
      </w:r>
    </w:p>
    <w:p w14:paraId="65CEAD99" w14:textId="77777777" w:rsidR="0009630F" w:rsidRPr="0009630F" w:rsidRDefault="0009630F" w:rsidP="0009630F">
      <w:pPr>
        <w:tabs>
          <w:tab w:val="left" w:pos="1440"/>
        </w:tabs>
        <w:adjustRightInd w:val="0"/>
        <w:ind w:left="1440"/>
        <w:contextualSpacing/>
        <w:rPr>
          <w:rFonts w:ascii="Arial" w:eastAsia="Times New Roman" w:hAnsi="Arial" w:cs="Arial"/>
        </w:rPr>
      </w:pPr>
    </w:p>
    <w:p w14:paraId="6ECF31C4" w14:textId="77777777" w:rsidR="00D605D1" w:rsidRPr="005C4A19" w:rsidRDefault="00D605D1" w:rsidP="00D605D1">
      <w:pPr>
        <w:rPr>
          <w:rFonts w:ascii="Arial" w:eastAsia="Times New Roman" w:hAnsi="Arial" w:cs="Arial"/>
          <w:b/>
        </w:rPr>
      </w:pPr>
      <w:r w:rsidRPr="005C4A19">
        <w:rPr>
          <w:rFonts w:ascii="Arial" w:eastAsia="Times New Roman" w:hAnsi="Arial" w:cs="Arial"/>
          <w:b/>
        </w:rPr>
        <w:t>03.</w:t>
      </w:r>
      <w:r w:rsidRPr="005C4A19">
        <w:rPr>
          <w:rFonts w:ascii="Arial" w:eastAsia="Times New Roman" w:hAnsi="Arial" w:cs="Arial"/>
          <w:b/>
        </w:rPr>
        <w:tab/>
        <w:t>OPERATING PROCEDURES</w:t>
      </w:r>
    </w:p>
    <w:p w14:paraId="1DB5304E" w14:textId="77777777" w:rsidR="00D605D1" w:rsidRPr="00D605D1" w:rsidRDefault="00D605D1" w:rsidP="00D605D1">
      <w:pPr>
        <w:rPr>
          <w:rFonts w:ascii="Arial" w:eastAsia="Times New Roman" w:hAnsi="Arial" w:cs="Arial"/>
        </w:rPr>
      </w:pPr>
    </w:p>
    <w:p w14:paraId="4B0ADCCD" w14:textId="77777777" w:rsidR="00D605D1" w:rsidRPr="00D605D1" w:rsidRDefault="00D605D1" w:rsidP="00D605D1">
      <w:pPr>
        <w:ind w:left="1440" w:hanging="720"/>
        <w:rPr>
          <w:rFonts w:ascii="Arial" w:eastAsia="Times New Roman" w:hAnsi="Arial" w:cs="Arial"/>
        </w:rPr>
      </w:pPr>
      <w:r w:rsidRPr="00D605D1">
        <w:rPr>
          <w:rFonts w:ascii="Arial" w:eastAsia="Times New Roman" w:hAnsi="Arial" w:cs="Arial"/>
        </w:rPr>
        <w:t>03.01</w:t>
      </w:r>
      <w:r w:rsidRPr="00D605D1">
        <w:rPr>
          <w:rFonts w:ascii="Arial" w:eastAsia="Times New Roman" w:hAnsi="Arial" w:cs="Arial"/>
        </w:rPr>
        <w:tab/>
        <w:t>University faculty members and staff employees often supervise students and other employees who engage in potentially dangerous activities or use potentially dangerous equipment. In such instances, such supervisors must give instruction and training in proper safety procedures to be followed.</w:t>
      </w:r>
    </w:p>
    <w:p w14:paraId="7AC594B6" w14:textId="77777777" w:rsidR="00D605D1" w:rsidRPr="00D605D1" w:rsidRDefault="00D605D1" w:rsidP="00D605D1">
      <w:pPr>
        <w:ind w:left="1440" w:hanging="720"/>
        <w:rPr>
          <w:rFonts w:ascii="Arial" w:eastAsia="Times New Roman" w:hAnsi="Arial" w:cs="Arial"/>
        </w:rPr>
      </w:pPr>
    </w:p>
    <w:p w14:paraId="08E70E12" w14:textId="6ED74270" w:rsidR="00D605D1" w:rsidRPr="00D605D1" w:rsidRDefault="00D605D1" w:rsidP="00D605D1">
      <w:pPr>
        <w:ind w:left="1440" w:hanging="720"/>
        <w:rPr>
          <w:rFonts w:ascii="Arial" w:eastAsia="Times New Roman" w:hAnsi="Arial" w:cs="Arial"/>
        </w:rPr>
      </w:pPr>
      <w:r w:rsidRPr="00D605D1">
        <w:rPr>
          <w:rFonts w:ascii="Arial" w:eastAsia="Times New Roman" w:hAnsi="Arial" w:cs="Arial"/>
        </w:rPr>
        <w:t>03.02</w:t>
      </w:r>
      <w:r w:rsidRPr="00D605D1">
        <w:rPr>
          <w:rFonts w:ascii="Arial" w:eastAsia="Times New Roman" w:hAnsi="Arial" w:cs="Arial"/>
        </w:rPr>
        <w:tab/>
        <w:t xml:space="preserve">In such instances, faculty members and </w:t>
      </w:r>
      <w:r w:rsidR="00663DB3">
        <w:rPr>
          <w:rFonts w:ascii="Arial" w:eastAsia="Times New Roman" w:hAnsi="Arial" w:cs="Arial"/>
        </w:rPr>
        <w:t xml:space="preserve">staff </w:t>
      </w:r>
      <w:r w:rsidRPr="00D605D1">
        <w:rPr>
          <w:rFonts w:ascii="Arial" w:eastAsia="Times New Roman" w:hAnsi="Arial" w:cs="Arial"/>
        </w:rPr>
        <w:t xml:space="preserve">employees </w:t>
      </w:r>
      <w:r w:rsidR="003400F9">
        <w:rPr>
          <w:rFonts w:ascii="Arial" w:eastAsia="Times New Roman" w:hAnsi="Arial" w:cs="Arial"/>
        </w:rPr>
        <w:t>may</w:t>
      </w:r>
      <w:r w:rsidR="003400F9" w:rsidRPr="00D605D1">
        <w:rPr>
          <w:rFonts w:ascii="Arial" w:eastAsia="Times New Roman" w:hAnsi="Arial" w:cs="Arial"/>
        </w:rPr>
        <w:t xml:space="preserve"> </w:t>
      </w:r>
      <w:r w:rsidRPr="00D605D1">
        <w:rPr>
          <w:rFonts w:ascii="Arial" w:eastAsia="Times New Roman" w:hAnsi="Arial" w:cs="Arial"/>
        </w:rPr>
        <w:t>have each person who participates in hazardous activities, such as university-sponsored foreign travel or field trips</w:t>
      </w:r>
      <w:r w:rsidR="00BA1C99">
        <w:rPr>
          <w:rFonts w:ascii="Arial" w:eastAsia="Times New Roman" w:hAnsi="Arial" w:cs="Arial"/>
        </w:rPr>
        <w:t>,</w:t>
      </w:r>
      <w:r w:rsidRPr="00D605D1">
        <w:rPr>
          <w:rFonts w:ascii="Arial" w:eastAsia="Times New Roman" w:hAnsi="Arial" w:cs="Arial"/>
        </w:rPr>
        <w:t xml:space="preserve"> or uses dangerous equipment sign a release relieving the university from liability. Employees should consult </w:t>
      </w:r>
      <w:r w:rsidR="00811AAA">
        <w:rPr>
          <w:rFonts w:ascii="Arial" w:eastAsia="Times New Roman" w:hAnsi="Arial" w:cs="Arial"/>
        </w:rPr>
        <w:t>T</w:t>
      </w:r>
      <w:r w:rsidRPr="00D605D1">
        <w:rPr>
          <w:rFonts w:ascii="Arial" w:eastAsia="Times New Roman" w:hAnsi="Arial" w:cs="Arial"/>
        </w:rPr>
        <w:t xml:space="preserve">he </w:t>
      </w:r>
      <w:r w:rsidR="00BA72AF" w:rsidRPr="00BA72AF">
        <w:rPr>
          <w:rFonts w:ascii="Arial" w:eastAsia="Times New Roman" w:hAnsi="Arial" w:cs="Arial"/>
        </w:rPr>
        <w:t>Texas State University</w:t>
      </w:r>
      <w:r w:rsidR="00BA72AF">
        <w:rPr>
          <w:rFonts w:ascii="Arial" w:eastAsia="Times New Roman" w:hAnsi="Arial" w:cs="Arial"/>
        </w:rPr>
        <w:t xml:space="preserve"> System (TSUS) Office of General Counsel</w:t>
      </w:r>
      <w:r w:rsidRPr="00D605D1">
        <w:rPr>
          <w:rFonts w:ascii="Arial" w:eastAsia="Times New Roman" w:hAnsi="Arial" w:cs="Arial"/>
        </w:rPr>
        <w:t xml:space="preserve"> for preparation of these releases. </w:t>
      </w:r>
    </w:p>
    <w:p w14:paraId="23137712" w14:textId="77777777" w:rsidR="00D605D1" w:rsidRPr="00D605D1" w:rsidRDefault="00D605D1" w:rsidP="00D605D1">
      <w:pPr>
        <w:ind w:left="1440" w:hanging="720"/>
        <w:rPr>
          <w:rFonts w:ascii="Arial" w:eastAsia="Times New Roman" w:hAnsi="Arial" w:cs="Arial"/>
        </w:rPr>
      </w:pPr>
    </w:p>
    <w:p w14:paraId="3CCBBFA9" w14:textId="381FBB50" w:rsidR="00D605D1" w:rsidRPr="00D605D1" w:rsidRDefault="00D605D1" w:rsidP="00D605D1">
      <w:pPr>
        <w:ind w:left="1440" w:hanging="720"/>
        <w:rPr>
          <w:rFonts w:ascii="Arial" w:eastAsia="Times New Roman" w:hAnsi="Arial" w:cs="Arial"/>
        </w:rPr>
      </w:pPr>
      <w:r w:rsidRPr="00D605D1">
        <w:rPr>
          <w:rFonts w:ascii="Arial" w:eastAsia="Times New Roman" w:hAnsi="Arial" w:cs="Arial"/>
        </w:rPr>
        <w:t>03.03</w:t>
      </w:r>
      <w:r w:rsidRPr="00D605D1">
        <w:rPr>
          <w:rFonts w:ascii="Arial" w:eastAsia="Times New Roman" w:hAnsi="Arial" w:cs="Arial"/>
        </w:rPr>
        <w:tab/>
        <w:t>No university faculty member, administrator</w:t>
      </w:r>
      <w:r w:rsidR="00EF4E9F">
        <w:rPr>
          <w:rFonts w:ascii="Arial" w:eastAsia="Times New Roman" w:hAnsi="Arial" w:cs="Arial"/>
        </w:rPr>
        <w:t>,</w:t>
      </w:r>
      <w:r w:rsidRPr="00D605D1">
        <w:rPr>
          <w:rFonts w:ascii="Arial" w:eastAsia="Times New Roman" w:hAnsi="Arial" w:cs="Arial"/>
        </w:rPr>
        <w:t xml:space="preserve"> or other </w:t>
      </w:r>
      <w:r w:rsidR="00663DB3">
        <w:rPr>
          <w:rFonts w:ascii="Arial" w:eastAsia="Times New Roman" w:hAnsi="Arial" w:cs="Arial"/>
        </w:rPr>
        <w:t xml:space="preserve">staff </w:t>
      </w:r>
      <w:r w:rsidRPr="00D605D1">
        <w:rPr>
          <w:rFonts w:ascii="Arial" w:eastAsia="Times New Roman" w:hAnsi="Arial" w:cs="Arial"/>
        </w:rPr>
        <w:t>employee</w:t>
      </w:r>
      <w:r w:rsidR="00EF4E9F">
        <w:rPr>
          <w:rFonts w:ascii="Arial" w:eastAsia="Times New Roman" w:hAnsi="Arial" w:cs="Arial"/>
        </w:rPr>
        <w:t xml:space="preserve"> (</w:t>
      </w:r>
      <w:r w:rsidRPr="00D605D1">
        <w:rPr>
          <w:rFonts w:ascii="Arial" w:eastAsia="Times New Roman" w:hAnsi="Arial" w:cs="Arial"/>
        </w:rPr>
        <w:t>other than the president of the university</w:t>
      </w:r>
      <w:r w:rsidR="00EF4E9F">
        <w:rPr>
          <w:rFonts w:ascii="Arial" w:eastAsia="Times New Roman" w:hAnsi="Arial" w:cs="Arial"/>
        </w:rPr>
        <w:t>)</w:t>
      </w:r>
      <w:r w:rsidRPr="00D605D1">
        <w:rPr>
          <w:rFonts w:ascii="Arial" w:eastAsia="Times New Roman" w:hAnsi="Arial" w:cs="Arial"/>
        </w:rPr>
        <w:t xml:space="preserve"> has authority to make an admission of liability or bind the university to any settlement when another person suffers injury to </w:t>
      </w:r>
      <w:r w:rsidR="00343E86">
        <w:rPr>
          <w:rFonts w:ascii="Arial" w:eastAsia="Times New Roman" w:hAnsi="Arial" w:cs="Arial"/>
        </w:rPr>
        <w:t>their</w:t>
      </w:r>
      <w:r w:rsidRPr="00D605D1">
        <w:rPr>
          <w:rFonts w:ascii="Arial" w:eastAsia="Times New Roman" w:hAnsi="Arial" w:cs="Arial"/>
        </w:rPr>
        <w:t xml:space="preserve"> person or damage to </w:t>
      </w:r>
      <w:r w:rsidR="00343E86">
        <w:rPr>
          <w:rFonts w:ascii="Arial" w:eastAsia="Times New Roman" w:hAnsi="Arial" w:cs="Arial"/>
        </w:rPr>
        <w:t>their</w:t>
      </w:r>
      <w:r w:rsidRPr="00D605D1">
        <w:rPr>
          <w:rFonts w:ascii="Arial" w:eastAsia="Times New Roman" w:hAnsi="Arial" w:cs="Arial"/>
        </w:rPr>
        <w:t xml:space="preserve"> property.</w:t>
      </w:r>
    </w:p>
    <w:p w14:paraId="6F84933A" w14:textId="77777777" w:rsidR="00D605D1" w:rsidRPr="00D605D1" w:rsidRDefault="00D605D1" w:rsidP="00D605D1">
      <w:pPr>
        <w:ind w:left="1440" w:hanging="720"/>
        <w:rPr>
          <w:rFonts w:ascii="Arial" w:eastAsia="Times New Roman" w:hAnsi="Arial" w:cs="Arial"/>
        </w:rPr>
      </w:pPr>
    </w:p>
    <w:p w14:paraId="4C111A4C" w14:textId="5B8B05A3" w:rsidR="00D605D1" w:rsidRPr="00D605D1" w:rsidRDefault="00D605D1" w:rsidP="00D605D1">
      <w:pPr>
        <w:ind w:left="1440" w:hanging="720"/>
        <w:rPr>
          <w:rFonts w:ascii="Arial" w:eastAsia="Times New Roman" w:hAnsi="Arial" w:cs="Arial"/>
        </w:rPr>
      </w:pPr>
      <w:r w:rsidRPr="00D605D1">
        <w:rPr>
          <w:rFonts w:ascii="Arial" w:eastAsia="Times New Roman" w:hAnsi="Arial" w:cs="Arial"/>
        </w:rPr>
        <w:t>03.04</w:t>
      </w:r>
      <w:r w:rsidRPr="00D605D1">
        <w:rPr>
          <w:rFonts w:ascii="Arial" w:eastAsia="Times New Roman" w:hAnsi="Arial" w:cs="Arial"/>
        </w:rPr>
        <w:tab/>
        <w:t>Persons with knowledge of injuries to persons or</w:t>
      </w:r>
      <w:r w:rsidRPr="00D605D1">
        <w:rPr>
          <w:rFonts w:ascii="Arial" w:eastAsia="Times New Roman" w:hAnsi="Arial" w:cs="Arial"/>
          <w:color w:val="FF0000"/>
        </w:rPr>
        <w:t xml:space="preserve"> </w:t>
      </w:r>
      <w:r w:rsidRPr="00D605D1">
        <w:rPr>
          <w:rFonts w:ascii="Arial" w:eastAsia="Times New Roman" w:hAnsi="Arial" w:cs="Arial"/>
        </w:rPr>
        <w:t>damages to property that might result in university liability should report to the</w:t>
      </w:r>
      <w:r w:rsidR="00BA72AF">
        <w:rPr>
          <w:rFonts w:ascii="Arial" w:eastAsia="Times New Roman" w:hAnsi="Arial" w:cs="Arial"/>
        </w:rPr>
        <w:t xml:space="preserve"> TSUS Office of the General Counsel</w:t>
      </w:r>
      <w:r w:rsidRPr="00D605D1">
        <w:rPr>
          <w:rFonts w:ascii="Arial" w:eastAsia="Times New Roman" w:hAnsi="Arial" w:cs="Arial"/>
        </w:rPr>
        <w:t xml:space="preserve">, who will convey such information to the </w:t>
      </w:r>
      <w:r w:rsidR="000A63EA">
        <w:rPr>
          <w:rFonts w:ascii="Arial" w:eastAsia="Times New Roman" w:hAnsi="Arial" w:cs="Arial"/>
        </w:rPr>
        <w:t>assistant vice president for</w:t>
      </w:r>
      <w:r w:rsidRPr="00D605D1">
        <w:rPr>
          <w:rFonts w:ascii="Arial" w:eastAsia="Times New Roman" w:hAnsi="Arial" w:cs="Arial"/>
        </w:rPr>
        <w:t xml:space="preserve"> Human Resources, the appropriate vice president, the safety officer, and</w:t>
      </w:r>
      <w:r w:rsidR="001B2A05">
        <w:rPr>
          <w:rFonts w:ascii="Arial" w:eastAsia="Times New Roman" w:hAnsi="Arial" w:cs="Arial"/>
        </w:rPr>
        <w:t>,</w:t>
      </w:r>
      <w:r w:rsidRPr="00D605D1">
        <w:rPr>
          <w:rFonts w:ascii="Arial" w:eastAsia="Times New Roman" w:hAnsi="Arial" w:cs="Arial"/>
        </w:rPr>
        <w:t xml:space="preserve"> through the vice president for Finance and Support Services</w:t>
      </w:r>
      <w:r w:rsidR="00EF4E9F">
        <w:rPr>
          <w:rFonts w:ascii="Arial" w:eastAsia="Times New Roman" w:hAnsi="Arial" w:cs="Arial"/>
        </w:rPr>
        <w:t xml:space="preserve"> (VPFSS)</w:t>
      </w:r>
      <w:r w:rsidRPr="00D605D1">
        <w:rPr>
          <w:rFonts w:ascii="Arial" w:eastAsia="Times New Roman" w:hAnsi="Arial" w:cs="Arial"/>
        </w:rPr>
        <w:t>, to the president of the university.</w:t>
      </w:r>
    </w:p>
    <w:p w14:paraId="472AA3C2" w14:textId="77777777" w:rsidR="00D605D1" w:rsidRPr="00D605D1" w:rsidRDefault="00D605D1" w:rsidP="00D605D1">
      <w:pPr>
        <w:ind w:left="1440" w:hanging="720"/>
        <w:rPr>
          <w:rFonts w:ascii="Arial" w:eastAsia="Times New Roman" w:hAnsi="Arial" w:cs="Arial"/>
        </w:rPr>
      </w:pPr>
    </w:p>
    <w:p w14:paraId="49D934A0" w14:textId="748F7160" w:rsidR="00D605D1" w:rsidRPr="00D605D1" w:rsidRDefault="00D605D1" w:rsidP="00A36598">
      <w:pPr>
        <w:tabs>
          <w:tab w:val="left" w:pos="1710"/>
          <w:tab w:val="left" w:pos="1800"/>
        </w:tabs>
        <w:ind w:left="1440" w:hanging="720"/>
        <w:rPr>
          <w:rFonts w:ascii="Arial" w:eastAsia="Times New Roman" w:hAnsi="Arial" w:cs="Arial"/>
        </w:rPr>
      </w:pPr>
      <w:r w:rsidRPr="00D605D1">
        <w:rPr>
          <w:rFonts w:ascii="Arial" w:eastAsia="Times New Roman" w:hAnsi="Arial" w:cs="Arial"/>
        </w:rPr>
        <w:t>03.05</w:t>
      </w:r>
      <w:r w:rsidRPr="00D605D1">
        <w:rPr>
          <w:rFonts w:ascii="Arial" w:eastAsia="Times New Roman" w:hAnsi="Arial" w:cs="Arial"/>
        </w:rPr>
        <w:tab/>
        <w:t xml:space="preserve">Since university employees are eligible for </w:t>
      </w:r>
      <w:r w:rsidR="00C85A01">
        <w:rPr>
          <w:rFonts w:ascii="Arial" w:eastAsia="Times New Roman" w:hAnsi="Arial" w:cs="Arial"/>
        </w:rPr>
        <w:t>w</w:t>
      </w:r>
      <w:r w:rsidRPr="00D605D1">
        <w:rPr>
          <w:rFonts w:ascii="Arial" w:eastAsia="Times New Roman" w:hAnsi="Arial" w:cs="Arial"/>
        </w:rPr>
        <w:t>orkers</w:t>
      </w:r>
      <w:r w:rsidR="00C85A01">
        <w:rPr>
          <w:rFonts w:ascii="Arial" w:eastAsia="Times New Roman" w:hAnsi="Arial" w:cs="Arial"/>
        </w:rPr>
        <w:t>’</w:t>
      </w:r>
      <w:r w:rsidRPr="00D605D1">
        <w:rPr>
          <w:rFonts w:ascii="Arial" w:eastAsia="Times New Roman" w:hAnsi="Arial" w:cs="Arial"/>
        </w:rPr>
        <w:t xml:space="preserve"> </w:t>
      </w:r>
      <w:r w:rsidR="00C85A01">
        <w:rPr>
          <w:rFonts w:ascii="Arial" w:eastAsia="Times New Roman" w:hAnsi="Arial" w:cs="Arial"/>
        </w:rPr>
        <w:t>c</w:t>
      </w:r>
      <w:r w:rsidRPr="00D605D1">
        <w:rPr>
          <w:rFonts w:ascii="Arial" w:eastAsia="Times New Roman" w:hAnsi="Arial" w:cs="Arial"/>
        </w:rPr>
        <w:t>ompensation (</w:t>
      </w:r>
      <w:proofErr w:type="gramStart"/>
      <w:r w:rsidRPr="00D605D1">
        <w:rPr>
          <w:rFonts w:ascii="Arial" w:eastAsia="Times New Roman" w:hAnsi="Arial" w:cs="Arial"/>
        </w:rPr>
        <w:t>whether or not</w:t>
      </w:r>
      <w:proofErr w:type="gramEnd"/>
      <w:r w:rsidRPr="00D605D1">
        <w:rPr>
          <w:rFonts w:ascii="Arial" w:eastAsia="Times New Roman" w:hAnsi="Arial" w:cs="Arial"/>
        </w:rPr>
        <w:t xml:space="preserve"> loss of work time or medical expenses are involved), persons with knowledge</w:t>
      </w:r>
      <w:r w:rsidRPr="00D605D1">
        <w:rPr>
          <w:rFonts w:ascii="Arial" w:eastAsia="Times New Roman" w:hAnsi="Arial" w:cs="Arial"/>
          <w:color w:val="FF0000"/>
        </w:rPr>
        <w:t xml:space="preserve"> </w:t>
      </w:r>
      <w:r w:rsidRPr="00D605D1">
        <w:rPr>
          <w:rFonts w:ascii="Arial" w:eastAsia="Times New Roman" w:hAnsi="Arial" w:cs="Arial"/>
        </w:rPr>
        <w:t xml:space="preserve">should report all work-related injuries to the appropriate administrative head. </w:t>
      </w:r>
      <w:hyperlink r:id="rId18" w:history="1">
        <w:r w:rsidR="004760ED" w:rsidRPr="00F82E91">
          <w:rPr>
            <w:rStyle w:val="Hyperlink"/>
            <w:rFonts w:ascii="Arial" w:eastAsia="Calibri" w:hAnsi="Arial" w:cs="Arial"/>
          </w:rPr>
          <w:t>UPPS No. 04.04.43</w:t>
        </w:r>
      </w:hyperlink>
      <w:r w:rsidR="004760ED" w:rsidRPr="00F82E91">
        <w:rPr>
          <w:rFonts w:ascii="Arial" w:eastAsia="Calibri" w:hAnsi="Arial" w:cs="Arial"/>
        </w:rPr>
        <w:t xml:space="preserve">, Workers' </w:t>
      </w:r>
      <w:r w:rsidR="004760ED" w:rsidRPr="00F82E91">
        <w:rPr>
          <w:rFonts w:ascii="Arial" w:eastAsia="Calibri" w:hAnsi="Arial" w:cs="Arial"/>
        </w:rPr>
        <w:lastRenderedPageBreak/>
        <w:t>Compensation Injuries, Illnesses</w:t>
      </w:r>
      <w:r w:rsidR="00BA1C99">
        <w:rPr>
          <w:rFonts w:ascii="Arial" w:eastAsia="Calibri" w:hAnsi="Arial" w:cs="Arial"/>
        </w:rPr>
        <w:t>,</w:t>
      </w:r>
      <w:r w:rsidR="004760ED" w:rsidRPr="00F82E91">
        <w:rPr>
          <w:rFonts w:ascii="Arial" w:eastAsia="Calibri" w:hAnsi="Arial" w:cs="Arial"/>
        </w:rPr>
        <w:t xml:space="preserve"> and Claims</w:t>
      </w:r>
      <w:r w:rsidRPr="00D605D1">
        <w:rPr>
          <w:rFonts w:ascii="Arial" w:eastAsia="Times New Roman" w:hAnsi="Arial" w:cs="Arial"/>
        </w:rPr>
        <w:t xml:space="preserve">, contains </w:t>
      </w:r>
      <w:r w:rsidR="00EF4E9F">
        <w:rPr>
          <w:rFonts w:ascii="Arial" w:eastAsia="Times New Roman" w:hAnsi="Arial" w:cs="Arial"/>
        </w:rPr>
        <w:t>more detailed information</w:t>
      </w:r>
      <w:r w:rsidRPr="00D605D1">
        <w:rPr>
          <w:rFonts w:ascii="Arial" w:eastAsia="Times New Roman" w:hAnsi="Arial" w:cs="Arial"/>
        </w:rPr>
        <w:t>.</w:t>
      </w:r>
    </w:p>
    <w:p w14:paraId="2CC4AE3A" w14:textId="77777777" w:rsidR="00D605D1" w:rsidRPr="00D605D1" w:rsidRDefault="00D605D1" w:rsidP="00D605D1">
      <w:pPr>
        <w:rPr>
          <w:rFonts w:ascii="Arial" w:eastAsia="Times New Roman" w:hAnsi="Arial" w:cs="Arial"/>
        </w:rPr>
      </w:pPr>
    </w:p>
    <w:p w14:paraId="105CA138" w14:textId="77777777" w:rsidR="00D605D1" w:rsidRPr="005C4A19" w:rsidRDefault="00D605D1" w:rsidP="00D605D1">
      <w:pPr>
        <w:ind w:left="720" w:hanging="720"/>
        <w:rPr>
          <w:rFonts w:ascii="Arial" w:eastAsia="Times New Roman" w:hAnsi="Arial" w:cs="Arial"/>
          <w:b/>
        </w:rPr>
      </w:pPr>
      <w:r w:rsidRPr="005C4A19">
        <w:rPr>
          <w:rFonts w:ascii="Arial" w:eastAsia="Times New Roman" w:hAnsi="Arial" w:cs="Arial"/>
          <w:b/>
        </w:rPr>
        <w:t>04.</w:t>
      </w:r>
      <w:r w:rsidRPr="005C4A19">
        <w:rPr>
          <w:rFonts w:ascii="Arial" w:eastAsia="Times New Roman" w:hAnsi="Arial" w:cs="Arial"/>
          <w:b/>
        </w:rPr>
        <w:tab/>
        <w:t>PROCEDURES FOR FILING A CLAIM FOR MONETARY DAMAGES AGAINST THE UNIVERSITY</w:t>
      </w:r>
    </w:p>
    <w:p w14:paraId="4CA19305" w14:textId="77777777" w:rsidR="00D605D1" w:rsidRPr="00D605D1" w:rsidRDefault="00D605D1" w:rsidP="00D605D1">
      <w:pPr>
        <w:rPr>
          <w:rFonts w:ascii="Arial" w:eastAsia="Times New Roman" w:hAnsi="Arial" w:cs="Arial"/>
        </w:rPr>
      </w:pPr>
    </w:p>
    <w:p w14:paraId="6D921110" w14:textId="50FDA8C6" w:rsidR="00D605D1" w:rsidRPr="00D605D1" w:rsidRDefault="00D605D1" w:rsidP="00D605D1">
      <w:pPr>
        <w:ind w:left="1440" w:hanging="720"/>
        <w:rPr>
          <w:rFonts w:ascii="Arial" w:eastAsia="Times New Roman" w:hAnsi="Arial" w:cs="Arial"/>
        </w:rPr>
      </w:pPr>
      <w:r w:rsidRPr="00D605D1">
        <w:rPr>
          <w:rFonts w:ascii="Arial" w:eastAsia="Times New Roman" w:hAnsi="Arial" w:cs="Arial"/>
        </w:rPr>
        <w:t>04.01</w:t>
      </w:r>
      <w:r w:rsidRPr="00D605D1">
        <w:rPr>
          <w:rFonts w:ascii="Arial" w:eastAsia="Times New Roman" w:hAnsi="Arial" w:cs="Arial"/>
        </w:rPr>
        <w:tab/>
      </w:r>
      <w:r w:rsidR="00EF4E9F">
        <w:rPr>
          <w:rFonts w:ascii="Arial" w:eastAsia="Times New Roman" w:hAnsi="Arial" w:cs="Arial"/>
        </w:rPr>
        <w:t>Claimants</w:t>
      </w:r>
      <w:r w:rsidRPr="00D605D1">
        <w:rPr>
          <w:rFonts w:ascii="Arial" w:eastAsia="Times New Roman" w:hAnsi="Arial" w:cs="Arial"/>
        </w:rPr>
        <w:t xml:space="preserve"> who seek monetary damages against the university should take the following steps, in sequence, to present that claim for payment:</w:t>
      </w:r>
    </w:p>
    <w:p w14:paraId="17A58262" w14:textId="77777777" w:rsidR="00D605D1" w:rsidRPr="00D605D1" w:rsidRDefault="00D605D1" w:rsidP="00D605D1">
      <w:pPr>
        <w:rPr>
          <w:rFonts w:ascii="Arial" w:eastAsia="Times New Roman" w:hAnsi="Arial" w:cs="Arial"/>
        </w:rPr>
      </w:pPr>
    </w:p>
    <w:p w14:paraId="4387AEE9" w14:textId="181FCF01" w:rsidR="00D605D1" w:rsidRPr="00D605D1" w:rsidRDefault="00D605D1" w:rsidP="00D605D1">
      <w:pPr>
        <w:ind w:left="1800" w:hanging="360"/>
        <w:rPr>
          <w:rFonts w:ascii="Arial" w:eastAsia="Times New Roman" w:hAnsi="Arial" w:cs="Arial"/>
        </w:rPr>
      </w:pPr>
      <w:r w:rsidRPr="00D605D1">
        <w:rPr>
          <w:rFonts w:ascii="Arial" w:eastAsia="Times New Roman" w:hAnsi="Arial" w:cs="Arial"/>
        </w:rPr>
        <w:t>a.</w:t>
      </w:r>
      <w:r w:rsidRPr="00D605D1">
        <w:rPr>
          <w:rFonts w:ascii="Arial" w:eastAsia="Times New Roman" w:hAnsi="Arial" w:cs="Arial"/>
        </w:rPr>
        <w:tab/>
      </w:r>
      <w:r w:rsidR="00EF4E9F">
        <w:rPr>
          <w:rFonts w:ascii="Arial" w:eastAsia="Times New Roman" w:hAnsi="Arial" w:cs="Arial"/>
        </w:rPr>
        <w:t>C</w:t>
      </w:r>
      <w:r w:rsidRPr="00D605D1">
        <w:rPr>
          <w:rFonts w:ascii="Arial" w:eastAsia="Times New Roman" w:hAnsi="Arial" w:cs="Arial"/>
        </w:rPr>
        <w:t xml:space="preserve">laimants may obtain </w:t>
      </w:r>
      <w:hyperlink r:id="rId19" w:history="1">
        <w:r w:rsidRPr="001F1C0B">
          <w:rPr>
            <w:rStyle w:val="Hyperlink"/>
            <w:rFonts w:ascii="Arial" w:eastAsia="Times New Roman" w:hAnsi="Arial" w:cs="Arial"/>
          </w:rPr>
          <w:t>claim forms</w:t>
        </w:r>
      </w:hyperlink>
      <w:r w:rsidRPr="00D605D1">
        <w:rPr>
          <w:rFonts w:ascii="Arial" w:eastAsia="Times New Roman" w:hAnsi="Arial" w:cs="Arial"/>
        </w:rPr>
        <w:t xml:space="preserve"> </w:t>
      </w:r>
      <w:r w:rsidR="001F1C0B">
        <w:rPr>
          <w:rFonts w:ascii="Arial" w:eastAsia="Times New Roman" w:hAnsi="Arial" w:cs="Arial"/>
        </w:rPr>
        <w:t xml:space="preserve">from </w:t>
      </w:r>
      <w:r w:rsidR="00EF4E9F">
        <w:rPr>
          <w:rFonts w:ascii="Arial" w:eastAsia="Times New Roman" w:hAnsi="Arial" w:cs="Arial"/>
        </w:rPr>
        <w:t xml:space="preserve">the </w:t>
      </w:r>
      <w:r w:rsidR="001F1C0B">
        <w:rPr>
          <w:rFonts w:ascii="Arial" w:eastAsia="Times New Roman" w:hAnsi="Arial" w:cs="Arial"/>
        </w:rPr>
        <w:t>VPFSS</w:t>
      </w:r>
      <w:r w:rsidR="00EF4E9F">
        <w:rPr>
          <w:rFonts w:ascii="Arial" w:eastAsia="Times New Roman" w:hAnsi="Arial" w:cs="Arial"/>
        </w:rPr>
        <w:t xml:space="preserve"> office.</w:t>
      </w:r>
      <w:r w:rsidRPr="00D605D1">
        <w:rPr>
          <w:rFonts w:ascii="Arial" w:eastAsia="Times New Roman" w:hAnsi="Arial" w:cs="Arial"/>
        </w:rPr>
        <w:t xml:space="preserve"> </w:t>
      </w:r>
    </w:p>
    <w:p w14:paraId="474DFB28" w14:textId="77777777" w:rsidR="00D605D1" w:rsidRPr="00D605D1" w:rsidRDefault="00D605D1" w:rsidP="00D605D1">
      <w:pPr>
        <w:ind w:left="1800" w:hanging="360"/>
        <w:rPr>
          <w:rFonts w:ascii="Arial" w:eastAsia="Times New Roman" w:hAnsi="Arial" w:cs="Arial"/>
        </w:rPr>
      </w:pPr>
    </w:p>
    <w:p w14:paraId="15A9178F" w14:textId="1FC3E7F7" w:rsidR="00D605D1" w:rsidRPr="00D605D1" w:rsidRDefault="00D605D1" w:rsidP="00D605D1">
      <w:pPr>
        <w:ind w:left="1800" w:hanging="360"/>
        <w:rPr>
          <w:rFonts w:ascii="Arial" w:eastAsia="Times New Roman" w:hAnsi="Arial" w:cs="Arial"/>
        </w:rPr>
      </w:pPr>
      <w:r w:rsidRPr="00D605D1">
        <w:rPr>
          <w:rFonts w:ascii="Arial" w:eastAsia="Times New Roman" w:hAnsi="Arial" w:cs="Arial"/>
        </w:rPr>
        <w:t>b.</w:t>
      </w:r>
      <w:r w:rsidRPr="00D605D1">
        <w:rPr>
          <w:rFonts w:ascii="Arial" w:eastAsia="Times New Roman" w:hAnsi="Arial" w:cs="Arial"/>
        </w:rPr>
        <w:tab/>
      </w:r>
      <w:r w:rsidR="00EF4E9F">
        <w:rPr>
          <w:rFonts w:ascii="Arial" w:eastAsia="Times New Roman" w:hAnsi="Arial" w:cs="Arial"/>
        </w:rPr>
        <w:t>T</w:t>
      </w:r>
      <w:r w:rsidRPr="00D605D1">
        <w:rPr>
          <w:rFonts w:ascii="Arial" w:eastAsia="Times New Roman" w:hAnsi="Arial" w:cs="Arial"/>
        </w:rPr>
        <w:t>he claimant should complete the</w:t>
      </w:r>
      <w:r w:rsidR="00EF4E9F">
        <w:rPr>
          <w:rFonts w:ascii="Arial" w:eastAsia="Times New Roman" w:hAnsi="Arial" w:cs="Arial"/>
        </w:rPr>
        <w:t xml:space="preserve"> </w:t>
      </w:r>
      <w:hyperlink r:id="rId20" w:history="1">
        <w:r w:rsidR="00EF4E9F" w:rsidRPr="00EF4E9F">
          <w:rPr>
            <w:rStyle w:val="Hyperlink"/>
            <w:rFonts w:ascii="Arial" w:eastAsia="Times New Roman" w:hAnsi="Arial" w:cs="Arial"/>
          </w:rPr>
          <w:t>claim</w:t>
        </w:r>
        <w:r w:rsidRPr="00EF4E9F">
          <w:rPr>
            <w:rStyle w:val="Hyperlink"/>
            <w:rFonts w:ascii="Arial" w:eastAsia="Times New Roman" w:hAnsi="Arial" w:cs="Arial"/>
          </w:rPr>
          <w:t xml:space="preserve"> form</w:t>
        </w:r>
      </w:hyperlink>
      <w:r w:rsidRPr="00D605D1">
        <w:rPr>
          <w:rFonts w:ascii="Arial" w:eastAsia="Times New Roman" w:hAnsi="Arial" w:cs="Arial"/>
        </w:rPr>
        <w:t xml:space="preserve"> and attach sufficient document</w:t>
      </w:r>
      <w:r w:rsidR="0064641E">
        <w:rPr>
          <w:rFonts w:ascii="Arial" w:eastAsia="Times New Roman" w:hAnsi="Arial" w:cs="Arial"/>
        </w:rPr>
        <w:t>ation</w:t>
      </w:r>
      <w:r w:rsidRPr="00D605D1">
        <w:rPr>
          <w:rFonts w:ascii="Arial" w:eastAsia="Times New Roman" w:hAnsi="Arial" w:cs="Arial"/>
        </w:rPr>
        <w:t xml:space="preserve"> to support the amount of and the justification for th</w:t>
      </w:r>
      <w:r w:rsidR="00EF4E9F">
        <w:rPr>
          <w:rFonts w:ascii="Arial" w:eastAsia="Times New Roman" w:hAnsi="Arial" w:cs="Arial"/>
        </w:rPr>
        <w:t>e</w:t>
      </w:r>
      <w:r w:rsidRPr="00D605D1">
        <w:rPr>
          <w:rFonts w:ascii="Arial" w:eastAsia="Times New Roman" w:hAnsi="Arial" w:cs="Arial"/>
        </w:rPr>
        <w:t xml:space="preserve"> claim. Examples of supporting documents are written estimates of damages to property made by qualified experts, medical bills, police reports, and statements of witnesses describing the incident giving rise to the claim. The claimant should </w:t>
      </w:r>
      <w:r w:rsidR="0064641E">
        <w:rPr>
          <w:rFonts w:ascii="Arial" w:eastAsia="Times New Roman" w:hAnsi="Arial" w:cs="Arial"/>
        </w:rPr>
        <w:t>submit</w:t>
      </w:r>
      <w:r w:rsidR="0064641E" w:rsidRPr="00D605D1">
        <w:rPr>
          <w:rFonts w:ascii="Arial" w:eastAsia="Times New Roman" w:hAnsi="Arial" w:cs="Arial"/>
        </w:rPr>
        <w:t xml:space="preserve"> </w:t>
      </w:r>
      <w:r w:rsidRPr="00D605D1">
        <w:rPr>
          <w:rFonts w:ascii="Arial" w:eastAsia="Times New Roman" w:hAnsi="Arial" w:cs="Arial"/>
        </w:rPr>
        <w:t>the form to the</w:t>
      </w:r>
      <w:r w:rsidR="00C3633D">
        <w:rPr>
          <w:rFonts w:ascii="Arial" w:eastAsia="Times New Roman" w:hAnsi="Arial" w:cs="Arial"/>
        </w:rPr>
        <w:t xml:space="preserve"> TSUS Office of General Counsel</w:t>
      </w:r>
      <w:r w:rsidR="00EF4E9F">
        <w:rPr>
          <w:rFonts w:ascii="Arial" w:eastAsia="Times New Roman" w:hAnsi="Arial" w:cs="Arial"/>
        </w:rPr>
        <w:t>.</w:t>
      </w:r>
    </w:p>
    <w:p w14:paraId="12F97D41" w14:textId="77777777" w:rsidR="00D605D1" w:rsidRPr="00D605D1" w:rsidRDefault="00D605D1" w:rsidP="00D605D1">
      <w:pPr>
        <w:ind w:left="1800" w:hanging="360"/>
        <w:rPr>
          <w:rFonts w:ascii="Arial" w:eastAsia="Times New Roman" w:hAnsi="Arial" w:cs="Arial"/>
        </w:rPr>
      </w:pPr>
    </w:p>
    <w:p w14:paraId="0846D1DA" w14:textId="0D9DE85F" w:rsidR="00D605D1" w:rsidRPr="00D605D1" w:rsidRDefault="00D605D1" w:rsidP="00D605D1">
      <w:pPr>
        <w:ind w:left="1800" w:hanging="360"/>
        <w:rPr>
          <w:rFonts w:ascii="Arial" w:eastAsia="Times New Roman" w:hAnsi="Arial" w:cs="Arial"/>
        </w:rPr>
      </w:pPr>
      <w:r w:rsidRPr="00D605D1">
        <w:rPr>
          <w:rFonts w:ascii="Arial" w:eastAsia="Times New Roman" w:hAnsi="Arial" w:cs="Arial"/>
        </w:rPr>
        <w:t>c.</w:t>
      </w:r>
      <w:r w:rsidRPr="00D605D1">
        <w:rPr>
          <w:rFonts w:ascii="Arial" w:eastAsia="Times New Roman" w:hAnsi="Arial" w:cs="Arial"/>
        </w:rPr>
        <w:tab/>
      </w:r>
      <w:r w:rsidR="00EF4E9F">
        <w:rPr>
          <w:rFonts w:ascii="Arial" w:eastAsia="Times New Roman" w:hAnsi="Arial" w:cs="Arial"/>
        </w:rPr>
        <w:t>T</w:t>
      </w:r>
      <w:r w:rsidRPr="00D605D1">
        <w:rPr>
          <w:rFonts w:ascii="Arial" w:eastAsia="Times New Roman" w:hAnsi="Arial" w:cs="Arial"/>
        </w:rPr>
        <w:t xml:space="preserve">he </w:t>
      </w:r>
      <w:r w:rsidR="001E5198">
        <w:rPr>
          <w:rFonts w:ascii="Arial" w:eastAsia="Times New Roman" w:hAnsi="Arial" w:cs="Arial"/>
        </w:rPr>
        <w:t>TSUS Office of General Counsel</w:t>
      </w:r>
      <w:r w:rsidR="00C0084C">
        <w:rPr>
          <w:rFonts w:ascii="Arial" w:eastAsia="Times New Roman" w:hAnsi="Arial" w:cs="Arial"/>
        </w:rPr>
        <w:t xml:space="preserve"> </w:t>
      </w:r>
      <w:r w:rsidRPr="00D605D1">
        <w:rPr>
          <w:rFonts w:ascii="Arial" w:eastAsia="Times New Roman" w:hAnsi="Arial" w:cs="Arial"/>
        </w:rPr>
        <w:t xml:space="preserve">will investigate the claim and recommend to the </w:t>
      </w:r>
      <w:r w:rsidR="00EF4E9F">
        <w:rPr>
          <w:rFonts w:ascii="Arial" w:eastAsia="Times New Roman" w:hAnsi="Arial" w:cs="Arial"/>
        </w:rPr>
        <w:t>VPFSS</w:t>
      </w:r>
      <w:r w:rsidRPr="00D605D1">
        <w:rPr>
          <w:rFonts w:ascii="Arial" w:eastAsia="Times New Roman" w:hAnsi="Arial" w:cs="Arial"/>
        </w:rPr>
        <w:t xml:space="preserve"> whether the university should pay the claim. The </w:t>
      </w:r>
      <w:r w:rsidR="00EF4E9F">
        <w:rPr>
          <w:rFonts w:ascii="Arial" w:eastAsia="Times New Roman" w:hAnsi="Arial" w:cs="Arial"/>
        </w:rPr>
        <w:t>VPFSS</w:t>
      </w:r>
      <w:r w:rsidRPr="00D605D1">
        <w:rPr>
          <w:rFonts w:ascii="Arial" w:eastAsia="Times New Roman" w:hAnsi="Arial" w:cs="Arial"/>
        </w:rPr>
        <w:t xml:space="preserve"> wil</w:t>
      </w:r>
      <w:r w:rsidR="00C0084C">
        <w:rPr>
          <w:rFonts w:ascii="Arial" w:eastAsia="Times New Roman" w:hAnsi="Arial" w:cs="Arial"/>
        </w:rPr>
        <w:t>l notify the TSUS Office of General Counsel</w:t>
      </w:r>
      <w:r w:rsidRPr="00D605D1">
        <w:rPr>
          <w:rFonts w:ascii="Arial" w:eastAsia="Times New Roman" w:hAnsi="Arial" w:cs="Arial"/>
        </w:rPr>
        <w:t xml:space="preserve"> of </w:t>
      </w:r>
      <w:r w:rsidR="00637822">
        <w:rPr>
          <w:rFonts w:ascii="Arial" w:eastAsia="Times New Roman" w:hAnsi="Arial" w:cs="Arial"/>
        </w:rPr>
        <w:t>their</w:t>
      </w:r>
      <w:r w:rsidRPr="00D605D1">
        <w:rPr>
          <w:rFonts w:ascii="Arial" w:eastAsia="Times New Roman" w:hAnsi="Arial" w:cs="Arial"/>
        </w:rPr>
        <w:t xml:space="preserve"> decision as to whether to pay or reject the claim. The </w:t>
      </w:r>
      <w:r w:rsidR="00C3633D">
        <w:rPr>
          <w:rFonts w:ascii="Arial" w:eastAsia="Times New Roman" w:hAnsi="Arial" w:cs="Arial"/>
        </w:rPr>
        <w:t>TSUS Office of General Counsel</w:t>
      </w:r>
      <w:r w:rsidRPr="00D605D1">
        <w:rPr>
          <w:rFonts w:ascii="Arial" w:eastAsia="Times New Roman" w:hAnsi="Arial" w:cs="Arial"/>
        </w:rPr>
        <w:t xml:space="preserve"> will notify the claimant of the university's decision</w:t>
      </w:r>
      <w:r w:rsidR="00EF4E9F">
        <w:rPr>
          <w:rFonts w:ascii="Arial" w:eastAsia="Times New Roman" w:hAnsi="Arial" w:cs="Arial"/>
        </w:rPr>
        <w:t>.</w:t>
      </w:r>
    </w:p>
    <w:p w14:paraId="1FED4441" w14:textId="77777777" w:rsidR="00D605D1" w:rsidRPr="00D605D1" w:rsidRDefault="00D605D1" w:rsidP="00D605D1">
      <w:pPr>
        <w:ind w:left="1800" w:hanging="360"/>
        <w:rPr>
          <w:rFonts w:ascii="Arial" w:eastAsia="Times New Roman" w:hAnsi="Arial" w:cs="Arial"/>
        </w:rPr>
      </w:pPr>
    </w:p>
    <w:p w14:paraId="6C6043F5" w14:textId="2A3EA437" w:rsidR="00D605D1" w:rsidRPr="00D605D1" w:rsidRDefault="00D605D1" w:rsidP="00D605D1">
      <w:pPr>
        <w:ind w:left="1800" w:hanging="360"/>
        <w:rPr>
          <w:rFonts w:ascii="Arial" w:eastAsia="Times New Roman" w:hAnsi="Arial" w:cs="Arial"/>
        </w:rPr>
      </w:pPr>
      <w:r w:rsidRPr="00D605D1">
        <w:rPr>
          <w:rFonts w:ascii="Arial" w:eastAsia="Times New Roman" w:hAnsi="Arial" w:cs="Arial"/>
        </w:rPr>
        <w:t>d.</w:t>
      </w:r>
      <w:r w:rsidRPr="00D605D1">
        <w:rPr>
          <w:rFonts w:ascii="Arial" w:eastAsia="Times New Roman" w:hAnsi="Arial" w:cs="Arial"/>
        </w:rPr>
        <w:tab/>
      </w:r>
      <w:r w:rsidR="00EF4E9F">
        <w:rPr>
          <w:rFonts w:ascii="Arial" w:eastAsia="Times New Roman" w:hAnsi="Arial" w:cs="Arial"/>
        </w:rPr>
        <w:t>T</w:t>
      </w:r>
      <w:r w:rsidRPr="00D605D1">
        <w:rPr>
          <w:rFonts w:ascii="Arial" w:eastAsia="Times New Roman" w:hAnsi="Arial" w:cs="Arial"/>
        </w:rPr>
        <w:t xml:space="preserve">he </w:t>
      </w:r>
      <w:r w:rsidR="00C3633D">
        <w:rPr>
          <w:rFonts w:ascii="Arial" w:eastAsia="Times New Roman" w:hAnsi="Arial" w:cs="Arial"/>
        </w:rPr>
        <w:t xml:space="preserve">TSUS </w:t>
      </w:r>
      <w:r w:rsidRPr="00D605D1">
        <w:rPr>
          <w:rFonts w:ascii="Arial" w:eastAsia="Times New Roman" w:hAnsi="Arial" w:cs="Arial"/>
        </w:rPr>
        <w:t>Office</w:t>
      </w:r>
      <w:r w:rsidR="00C3633D">
        <w:rPr>
          <w:rFonts w:ascii="Arial" w:eastAsia="Times New Roman" w:hAnsi="Arial" w:cs="Arial"/>
        </w:rPr>
        <w:t xml:space="preserve"> of General Counsel</w:t>
      </w:r>
      <w:r w:rsidRPr="00D605D1">
        <w:rPr>
          <w:rFonts w:ascii="Arial" w:eastAsia="Times New Roman" w:hAnsi="Arial" w:cs="Arial"/>
        </w:rPr>
        <w:t xml:space="preserve"> will notify </w:t>
      </w:r>
      <w:r w:rsidR="0064641E">
        <w:rPr>
          <w:rFonts w:ascii="Arial" w:eastAsia="Times New Roman" w:hAnsi="Arial" w:cs="Arial"/>
        </w:rPr>
        <w:t xml:space="preserve">the </w:t>
      </w:r>
      <w:r w:rsidRPr="00D605D1">
        <w:rPr>
          <w:rFonts w:ascii="Arial" w:eastAsia="Times New Roman" w:hAnsi="Arial" w:cs="Arial"/>
        </w:rPr>
        <w:t xml:space="preserve">claimant if additional information </w:t>
      </w:r>
      <w:r w:rsidR="0064641E">
        <w:rPr>
          <w:rFonts w:ascii="Arial" w:eastAsia="Times New Roman" w:hAnsi="Arial" w:cs="Arial"/>
        </w:rPr>
        <w:t xml:space="preserve">is required </w:t>
      </w:r>
      <w:r w:rsidRPr="00D605D1">
        <w:rPr>
          <w:rFonts w:ascii="Arial" w:eastAsia="Times New Roman" w:hAnsi="Arial" w:cs="Arial"/>
        </w:rPr>
        <w:t xml:space="preserve">or if the claimant </w:t>
      </w:r>
      <w:r w:rsidR="0064641E">
        <w:rPr>
          <w:rFonts w:ascii="Arial" w:eastAsia="Times New Roman" w:hAnsi="Arial" w:cs="Arial"/>
        </w:rPr>
        <w:t>will be required</w:t>
      </w:r>
      <w:r w:rsidRPr="00D605D1">
        <w:rPr>
          <w:rFonts w:ascii="Arial" w:eastAsia="Times New Roman" w:hAnsi="Arial" w:cs="Arial"/>
        </w:rPr>
        <w:t xml:space="preserve"> to surrender the damaged property at the time the university pays the claim.</w:t>
      </w:r>
    </w:p>
    <w:p w14:paraId="441BFFBF" w14:textId="77777777" w:rsidR="00D605D1" w:rsidRPr="00D605D1" w:rsidRDefault="00D605D1" w:rsidP="00D605D1">
      <w:pPr>
        <w:rPr>
          <w:rFonts w:ascii="Arial" w:eastAsia="Times New Roman" w:hAnsi="Arial" w:cs="Arial"/>
        </w:rPr>
      </w:pPr>
    </w:p>
    <w:p w14:paraId="012F120A" w14:textId="38930283" w:rsidR="00D605D1" w:rsidRPr="00D605D1" w:rsidRDefault="00D605D1" w:rsidP="00D605D1">
      <w:pPr>
        <w:ind w:left="1440" w:hanging="720"/>
        <w:rPr>
          <w:rFonts w:ascii="Arial" w:eastAsia="Times New Roman" w:hAnsi="Arial" w:cs="Arial"/>
        </w:rPr>
      </w:pPr>
      <w:r w:rsidRPr="00D605D1">
        <w:rPr>
          <w:rFonts w:ascii="Arial" w:eastAsia="Times New Roman" w:hAnsi="Arial" w:cs="Arial"/>
        </w:rPr>
        <w:t>04.02</w:t>
      </w:r>
      <w:r w:rsidRPr="00D605D1">
        <w:rPr>
          <w:rFonts w:ascii="Arial" w:eastAsia="Times New Roman" w:hAnsi="Arial" w:cs="Arial"/>
        </w:rPr>
        <w:tab/>
        <w:t xml:space="preserve">If the university determines that the claim </w:t>
      </w:r>
      <w:r w:rsidR="0064641E">
        <w:rPr>
          <w:rFonts w:ascii="Arial" w:eastAsia="Times New Roman" w:hAnsi="Arial" w:cs="Arial"/>
        </w:rPr>
        <w:t>will be paid</w:t>
      </w:r>
      <w:r w:rsidRPr="00D605D1">
        <w:rPr>
          <w:rFonts w:ascii="Arial" w:eastAsia="Times New Roman" w:hAnsi="Arial" w:cs="Arial"/>
        </w:rPr>
        <w:t>, the university may pay</w:t>
      </w:r>
      <w:r w:rsidRPr="00D605D1">
        <w:rPr>
          <w:rFonts w:ascii="Arial" w:eastAsia="Times New Roman" w:hAnsi="Arial" w:cs="Arial"/>
          <w:color w:val="FF0000"/>
        </w:rPr>
        <w:t xml:space="preserve"> </w:t>
      </w:r>
      <w:r w:rsidRPr="00D605D1">
        <w:rPr>
          <w:rFonts w:ascii="Arial" w:eastAsia="Times New Roman" w:hAnsi="Arial" w:cs="Arial"/>
        </w:rPr>
        <w:t>from local sources; ordinarily, from the account most directly linked with the activity that caused the claim.</w:t>
      </w:r>
    </w:p>
    <w:p w14:paraId="05D3C056" w14:textId="77777777" w:rsidR="00D605D1" w:rsidRPr="00D605D1" w:rsidRDefault="00D605D1" w:rsidP="00D605D1">
      <w:pPr>
        <w:ind w:left="1440" w:hanging="720"/>
        <w:rPr>
          <w:rFonts w:ascii="Arial" w:eastAsia="Times New Roman" w:hAnsi="Arial" w:cs="Arial"/>
        </w:rPr>
      </w:pPr>
    </w:p>
    <w:p w14:paraId="27864749" w14:textId="77777777" w:rsidR="00D605D1" w:rsidRPr="00D605D1" w:rsidRDefault="00D605D1" w:rsidP="00D605D1">
      <w:pPr>
        <w:ind w:left="1440" w:hanging="720"/>
        <w:rPr>
          <w:rFonts w:ascii="Arial" w:eastAsia="Times New Roman" w:hAnsi="Arial" w:cs="Arial"/>
        </w:rPr>
      </w:pPr>
      <w:r w:rsidRPr="00D605D1">
        <w:rPr>
          <w:rFonts w:ascii="Arial" w:eastAsia="Times New Roman" w:hAnsi="Arial" w:cs="Arial"/>
        </w:rPr>
        <w:t>04.03</w:t>
      </w:r>
      <w:r w:rsidRPr="00D605D1">
        <w:rPr>
          <w:rFonts w:ascii="Arial" w:eastAsia="Times New Roman" w:hAnsi="Arial" w:cs="Arial"/>
        </w:rPr>
        <w:tab/>
        <w:t xml:space="preserve">The university requires that the claimant sign a release prepared or approved by the </w:t>
      </w:r>
      <w:r w:rsidR="00C3633D">
        <w:rPr>
          <w:rFonts w:ascii="Arial" w:eastAsia="Times New Roman" w:hAnsi="Arial" w:cs="Arial"/>
        </w:rPr>
        <w:t>TSUS Office of General Counsel</w:t>
      </w:r>
      <w:r w:rsidR="00B04E2F">
        <w:rPr>
          <w:rFonts w:ascii="Arial" w:eastAsia="Times New Roman" w:hAnsi="Arial" w:cs="Arial"/>
        </w:rPr>
        <w:t xml:space="preserve"> </w:t>
      </w:r>
      <w:r w:rsidRPr="00D605D1">
        <w:rPr>
          <w:rFonts w:ascii="Arial" w:eastAsia="Times New Roman" w:hAnsi="Arial" w:cs="Arial"/>
        </w:rPr>
        <w:t>if the claim is paid.</w:t>
      </w:r>
    </w:p>
    <w:p w14:paraId="656988A7" w14:textId="77777777" w:rsidR="006E4C58" w:rsidRPr="00D605D1" w:rsidRDefault="006E4C58" w:rsidP="00D605D1">
      <w:pPr>
        <w:rPr>
          <w:rFonts w:ascii="Arial" w:eastAsia="Times New Roman" w:hAnsi="Arial" w:cs="Arial"/>
        </w:rPr>
      </w:pPr>
    </w:p>
    <w:p w14:paraId="1CAC5403" w14:textId="242F9B24" w:rsidR="00D605D1" w:rsidRPr="005C4A19" w:rsidRDefault="00D605D1" w:rsidP="00D605D1">
      <w:pPr>
        <w:ind w:left="720" w:hanging="720"/>
        <w:rPr>
          <w:rFonts w:ascii="Arial" w:eastAsia="Times New Roman" w:hAnsi="Arial" w:cs="Arial"/>
          <w:b/>
        </w:rPr>
      </w:pPr>
      <w:r w:rsidRPr="005C4A19">
        <w:rPr>
          <w:rFonts w:ascii="Arial" w:eastAsia="Times New Roman" w:hAnsi="Arial" w:cs="Arial"/>
          <w:b/>
        </w:rPr>
        <w:t>05.</w:t>
      </w:r>
      <w:r w:rsidRPr="005C4A19">
        <w:rPr>
          <w:rFonts w:ascii="Arial" w:eastAsia="Times New Roman" w:hAnsi="Arial" w:cs="Arial"/>
          <w:b/>
        </w:rPr>
        <w:tab/>
      </w:r>
      <w:r w:rsidR="003F00BE">
        <w:rPr>
          <w:rFonts w:ascii="Arial" w:eastAsia="Times New Roman" w:hAnsi="Arial" w:cs="Arial"/>
          <w:b/>
        </w:rPr>
        <w:t>P</w:t>
      </w:r>
      <w:r w:rsidR="0058112F">
        <w:rPr>
          <w:rFonts w:ascii="Arial" w:eastAsia="Times New Roman" w:hAnsi="Arial" w:cs="Arial"/>
          <w:b/>
        </w:rPr>
        <w:t>R</w:t>
      </w:r>
      <w:r w:rsidR="003F00BE">
        <w:rPr>
          <w:rFonts w:ascii="Arial" w:eastAsia="Times New Roman" w:hAnsi="Arial" w:cs="Arial"/>
          <w:b/>
        </w:rPr>
        <w:t>OCEDURES FOR</w:t>
      </w:r>
      <w:r w:rsidRPr="005C4A19">
        <w:rPr>
          <w:rFonts w:ascii="Arial" w:eastAsia="Times New Roman" w:hAnsi="Arial" w:cs="Arial"/>
          <w:b/>
        </w:rPr>
        <w:t xml:space="preserve"> JUDGMENT OR SETTLEMENT PAYMENTS</w:t>
      </w:r>
      <w:r w:rsidRPr="005C4A19">
        <w:rPr>
          <w:rFonts w:ascii="Arial" w:eastAsia="Times New Roman" w:hAnsi="Arial" w:cs="Arial"/>
          <w:b/>
          <w:color w:val="000000"/>
        </w:rPr>
        <w:t xml:space="preserve"> </w:t>
      </w:r>
    </w:p>
    <w:p w14:paraId="1A1FB116" w14:textId="77777777" w:rsidR="00D605D1" w:rsidRDefault="00D605D1" w:rsidP="00D605D1">
      <w:pPr>
        <w:rPr>
          <w:rFonts w:ascii="Calibri" w:eastAsia="Calibri" w:hAnsi="Calibri" w:cs="Times New Roman"/>
          <w:sz w:val="22"/>
          <w:szCs w:val="22"/>
        </w:rPr>
      </w:pPr>
    </w:p>
    <w:p w14:paraId="354D14E9" w14:textId="2F4F2A38" w:rsidR="008A2562" w:rsidRDefault="00D605D1" w:rsidP="008A2562">
      <w:pPr>
        <w:ind w:left="1440" w:hanging="720"/>
        <w:rPr>
          <w:rFonts w:ascii="Arial" w:eastAsia="Times New Roman" w:hAnsi="Arial" w:cs="Arial"/>
        </w:rPr>
      </w:pPr>
      <w:r w:rsidRPr="00D605D1">
        <w:rPr>
          <w:rFonts w:ascii="Arial" w:eastAsia="Calibri" w:hAnsi="Arial" w:cs="Arial"/>
          <w:color w:val="000000"/>
        </w:rPr>
        <w:t>05.0</w:t>
      </w:r>
      <w:r w:rsidR="005B668C">
        <w:rPr>
          <w:rFonts w:ascii="Arial" w:eastAsia="Calibri" w:hAnsi="Arial" w:cs="Arial"/>
          <w:color w:val="000000"/>
        </w:rPr>
        <w:t>1</w:t>
      </w:r>
      <w:r w:rsidRPr="00F82E91">
        <w:rPr>
          <w:rFonts w:ascii="Arial" w:eastAsia="Calibri" w:hAnsi="Arial" w:cs="Arial"/>
          <w:color w:val="000000"/>
        </w:rPr>
        <w:tab/>
      </w:r>
      <w:r w:rsidR="008A2562" w:rsidRPr="00D605D1">
        <w:rPr>
          <w:rFonts w:ascii="Arial" w:eastAsia="Times New Roman" w:hAnsi="Arial" w:cs="Arial"/>
        </w:rPr>
        <w:t>No university faculty member, administrator</w:t>
      </w:r>
      <w:r w:rsidR="00BA1C99">
        <w:rPr>
          <w:rFonts w:ascii="Arial" w:eastAsia="Times New Roman" w:hAnsi="Arial" w:cs="Arial"/>
        </w:rPr>
        <w:t>,</w:t>
      </w:r>
      <w:r w:rsidR="008A2562" w:rsidRPr="00D605D1">
        <w:rPr>
          <w:rFonts w:ascii="Arial" w:eastAsia="Times New Roman" w:hAnsi="Arial" w:cs="Arial"/>
        </w:rPr>
        <w:t xml:space="preserve"> or other </w:t>
      </w:r>
      <w:r w:rsidR="008A2562">
        <w:rPr>
          <w:rFonts w:ascii="Arial" w:eastAsia="Times New Roman" w:hAnsi="Arial" w:cs="Arial"/>
        </w:rPr>
        <w:t xml:space="preserve">staff </w:t>
      </w:r>
      <w:r w:rsidR="008A2562" w:rsidRPr="00D605D1">
        <w:rPr>
          <w:rFonts w:ascii="Arial" w:eastAsia="Times New Roman" w:hAnsi="Arial" w:cs="Arial"/>
        </w:rPr>
        <w:t>employee</w:t>
      </w:r>
      <w:r w:rsidR="00F21FC9">
        <w:rPr>
          <w:rFonts w:ascii="Arial" w:eastAsia="Times New Roman" w:hAnsi="Arial" w:cs="Arial"/>
        </w:rPr>
        <w:t xml:space="preserve"> (</w:t>
      </w:r>
      <w:r w:rsidR="008A2562" w:rsidRPr="00D605D1">
        <w:rPr>
          <w:rFonts w:ascii="Arial" w:eastAsia="Times New Roman" w:hAnsi="Arial" w:cs="Arial"/>
        </w:rPr>
        <w:t>other than the president of the university</w:t>
      </w:r>
      <w:r w:rsidR="00F21FC9">
        <w:rPr>
          <w:rFonts w:ascii="Arial" w:eastAsia="Times New Roman" w:hAnsi="Arial" w:cs="Arial"/>
        </w:rPr>
        <w:t>)</w:t>
      </w:r>
      <w:r w:rsidR="008A2562" w:rsidRPr="00D605D1">
        <w:rPr>
          <w:rFonts w:ascii="Arial" w:eastAsia="Times New Roman" w:hAnsi="Arial" w:cs="Arial"/>
        </w:rPr>
        <w:t>, has authority to bind the university</w:t>
      </w:r>
      <w:r w:rsidR="0064641E">
        <w:rPr>
          <w:rFonts w:ascii="Arial" w:eastAsia="Times New Roman" w:hAnsi="Arial" w:cs="Arial"/>
        </w:rPr>
        <w:t xml:space="preserve"> in a settlement agreement</w:t>
      </w:r>
      <w:r w:rsidR="008A2562" w:rsidRPr="00D605D1">
        <w:rPr>
          <w:rFonts w:ascii="Arial" w:eastAsia="Times New Roman" w:hAnsi="Arial" w:cs="Arial"/>
        </w:rPr>
        <w:t>.</w:t>
      </w:r>
    </w:p>
    <w:p w14:paraId="356B6F9A" w14:textId="77777777" w:rsidR="00761D81" w:rsidRDefault="00761D81" w:rsidP="008A2562">
      <w:pPr>
        <w:ind w:left="1440" w:hanging="720"/>
        <w:rPr>
          <w:rFonts w:ascii="Arial" w:eastAsia="Times New Roman" w:hAnsi="Arial" w:cs="Arial"/>
        </w:rPr>
      </w:pPr>
    </w:p>
    <w:p w14:paraId="3C4DBFC6" w14:textId="71D3B082" w:rsidR="00D32848" w:rsidRDefault="00BA1C99" w:rsidP="008A2562">
      <w:pPr>
        <w:ind w:left="1440" w:hanging="720"/>
        <w:rPr>
          <w:rFonts w:ascii="Arial" w:eastAsia="Times New Roman" w:hAnsi="Arial" w:cs="Arial"/>
        </w:rPr>
      </w:pPr>
      <w:proofErr w:type="gramStart"/>
      <w:r>
        <w:rPr>
          <w:rFonts w:ascii="Arial" w:eastAsia="Calibri" w:hAnsi="Arial" w:cs="Arial"/>
          <w:color w:val="000000"/>
        </w:rPr>
        <w:t>05.02  President’s</w:t>
      </w:r>
      <w:proofErr w:type="gramEnd"/>
      <w:r w:rsidR="00BB112A">
        <w:rPr>
          <w:rFonts w:ascii="Arial" w:eastAsia="Times New Roman" w:hAnsi="Arial" w:cs="Arial"/>
        </w:rPr>
        <w:t xml:space="preserve"> Cabinet</w:t>
      </w:r>
      <w:r w:rsidR="00F21FC9">
        <w:rPr>
          <w:rFonts w:ascii="Arial" w:eastAsia="Times New Roman" w:hAnsi="Arial" w:cs="Arial"/>
        </w:rPr>
        <w:t xml:space="preserve"> </w:t>
      </w:r>
      <w:r w:rsidR="00BB112A">
        <w:rPr>
          <w:rFonts w:ascii="Arial" w:eastAsia="Times New Roman" w:hAnsi="Arial" w:cs="Arial"/>
        </w:rPr>
        <w:t xml:space="preserve">members must notify </w:t>
      </w:r>
      <w:r w:rsidR="00F21FC9">
        <w:rPr>
          <w:rFonts w:ascii="Arial" w:eastAsia="Times New Roman" w:hAnsi="Arial" w:cs="Arial"/>
        </w:rPr>
        <w:t xml:space="preserve">the </w:t>
      </w:r>
      <w:r w:rsidR="00BB112A">
        <w:rPr>
          <w:rFonts w:ascii="Arial" w:eastAsia="Times New Roman" w:hAnsi="Arial" w:cs="Arial"/>
        </w:rPr>
        <w:t xml:space="preserve">VPFSS prior to engaging in negotiations towards potential legal settlements. </w:t>
      </w:r>
      <w:r w:rsidR="00F21FC9">
        <w:rPr>
          <w:rFonts w:ascii="Arial" w:eastAsia="Times New Roman" w:hAnsi="Arial" w:cs="Arial"/>
        </w:rPr>
        <w:t xml:space="preserve">President’s </w:t>
      </w:r>
      <w:r w:rsidR="00D01E19">
        <w:rPr>
          <w:rFonts w:ascii="Arial" w:eastAsia="Times New Roman" w:hAnsi="Arial" w:cs="Arial"/>
        </w:rPr>
        <w:t>Cabinet m</w:t>
      </w:r>
      <w:r w:rsidR="007B6647">
        <w:rPr>
          <w:rFonts w:ascii="Arial" w:eastAsia="Calibri" w:hAnsi="Arial" w:cs="Arial"/>
          <w:color w:val="000000"/>
        </w:rPr>
        <w:t xml:space="preserve">embers are authorized to work directly with </w:t>
      </w:r>
      <w:r w:rsidR="00AB1A1E">
        <w:rPr>
          <w:rFonts w:ascii="Arial" w:eastAsia="Calibri" w:hAnsi="Arial" w:cs="Arial"/>
          <w:color w:val="000000"/>
        </w:rPr>
        <w:t>t</w:t>
      </w:r>
      <w:r w:rsidR="007B6647">
        <w:rPr>
          <w:rFonts w:ascii="Arial" w:eastAsia="Calibri" w:hAnsi="Arial" w:cs="Arial"/>
          <w:color w:val="000000"/>
        </w:rPr>
        <w:t>h</w:t>
      </w:r>
      <w:r w:rsidR="00AB1A1E">
        <w:rPr>
          <w:rFonts w:ascii="Arial" w:eastAsia="Calibri" w:hAnsi="Arial" w:cs="Arial"/>
          <w:color w:val="000000"/>
        </w:rPr>
        <w:t>e</w:t>
      </w:r>
      <w:r w:rsidR="007B6647">
        <w:rPr>
          <w:rFonts w:ascii="Arial" w:eastAsia="Calibri" w:hAnsi="Arial" w:cs="Arial"/>
          <w:color w:val="000000"/>
        </w:rPr>
        <w:t xml:space="preserve"> TSUS </w:t>
      </w:r>
      <w:r w:rsidR="008A2562">
        <w:rPr>
          <w:rFonts w:ascii="Arial" w:eastAsia="Times New Roman" w:hAnsi="Arial" w:cs="Arial"/>
        </w:rPr>
        <w:t xml:space="preserve">Office of the </w:t>
      </w:r>
      <w:r w:rsidR="008A2562">
        <w:rPr>
          <w:rFonts w:ascii="Arial" w:eastAsia="Times New Roman" w:hAnsi="Arial" w:cs="Arial"/>
        </w:rPr>
        <w:lastRenderedPageBreak/>
        <w:t>General Counsel</w:t>
      </w:r>
      <w:r w:rsidR="006224A4">
        <w:rPr>
          <w:rFonts w:ascii="Arial" w:eastAsia="Times New Roman" w:hAnsi="Arial" w:cs="Arial"/>
        </w:rPr>
        <w:t xml:space="preserve"> to conduct </w:t>
      </w:r>
      <w:r w:rsidR="004C694A">
        <w:rPr>
          <w:rFonts w:ascii="Arial" w:eastAsia="Times New Roman" w:hAnsi="Arial" w:cs="Arial"/>
        </w:rPr>
        <w:t xml:space="preserve">such </w:t>
      </w:r>
      <w:r w:rsidR="006224A4">
        <w:rPr>
          <w:rFonts w:ascii="Arial" w:eastAsia="Times New Roman" w:hAnsi="Arial" w:cs="Arial"/>
        </w:rPr>
        <w:t xml:space="preserve">negotiations </w:t>
      </w:r>
      <w:r w:rsidR="00230EAC">
        <w:rPr>
          <w:rFonts w:ascii="Arial" w:eastAsia="Times New Roman" w:hAnsi="Arial" w:cs="Arial"/>
        </w:rPr>
        <w:t xml:space="preserve">and to participate in legal proceedings that may </w:t>
      </w:r>
      <w:r w:rsidR="0064641E">
        <w:rPr>
          <w:rFonts w:ascii="Arial" w:eastAsia="Times New Roman" w:hAnsi="Arial" w:cs="Arial"/>
        </w:rPr>
        <w:t>result in</w:t>
      </w:r>
      <w:r w:rsidR="00230EAC">
        <w:rPr>
          <w:rFonts w:ascii="Arial" w:eastAsia="Times New Roman" w:hAnsi="Arial" w:cs="Arial"/>
        </w:rPr>
        <w:t xml:space="preserve"> a judgment</w:t>
      </w:r>
      <w:r w:rsidR="00035ECF">
        <w:rPr>
          <w:rFonts w:ascii="Arial" w:eastAsia="Times New Roman" w:hAnsi="Arial" w:cs="Arial"/>
        </w:rPr>
        <w:t xml:space="preserve">. </w:t>
      </w:r>
      <w:r w:rsidR="00BB112A">
        <w:rPr>
          <w:rFonts w:ascii="Arial" w:eastAsia="Times New Roman" w:hAnsi="Arial" w:cs="Arial"/>
        </w:rPr>
        <w:t xml:space="preserve">Prior to finalizing a settlement, </w:t>
      </w:r>
      <w:r w:rsidR="00F21FC9">
        <w:rPr>
          <w:rFonts w:ascii="Arial" w:eastAsia="Times New Roman" w:hAnsi="Arial" w:cs="Arial"/>
        </w:rPr>
        <w:t xml:space="preserve">President’s </w:t>
      </w:r>
      <w:r w:rsidR="00BB112A">
        <w:rPr>
          <w:rFonts w:ascii="Arial" w:eastAsia="Times New Roman" w:hAnsi="Arial" w:cs="Arial"/>
        </w:rPr>
        <w:t xml:space="preserve">Cabinet </w:t>
      </w:r>
      <w:r w:rsidR="00D01E19">
        <w:rPr>
          <w:rFonts w:ascii="Arial" w:eastAsia="Times New Roman" w:hAnsi="Arial" w:cs="Arial"/>
        </w:rPr>
        <w:t>m</w:t>
      </w:r>
      <w:r w:rsidR="00BB112A">
        <w:rPr>
          <w:rFonts w:ascii="Arial" w:eastAsia="Times New Roman" w:hAnsi="Arial" w:cs="Arial"/>
        </w:rPr>
        <w:t xml:space="preserve">embers must inform the VPFSS, who will obtain approval from the president. In </w:t>
      </w:r>
      <w:r w:rsidR="004C694A">
        <w:rPr>
          <w:rFonts w:ascii="Arial" w:eastAsia="Times New Roman" w:hAnsi="Arial" w:cs="Arial"/>
        </w:rPr>
        <w:t>all instances, presidential approval is required.</w:t>
      </w:r>
      <w:r w:rsidR="00035ECF">
        <w:rPr>
          <w:rFonts w:ascii="Arial" w:eastAsia="Times New Roman" w:hAnsi="Arial" w:cs="Arial"/>
        </w:rPr>
        <w:t xml:space="preserve"> </w:t>
      </w:r>
    </w:p>
    <w:p w14:paraId="43874C17" w14:textId="77777777" w:rsidR="00D32848" w:rsidRDefault="00D32848" w:rsidP="008A2562">
      <w:pPr>
        <w:ind w:left="1440" w:hanging="720"/>
        <w:rPr>
          <w:rFonts w:ascii="Arial" w:eastAsia="Times New Roman" w:hAnsi="Arial" w:cs="Arial"/>
        </w:rPr>
      </w:pPr>
    </w:p>
    <w:p w14:paraId="000010C6" w14:textId="4FFBBACF" w:rsidR="008A2562" w:rsidRDefault="00D32848" w:rsidP="008A2562">
      <w:pPr>
        <w:ind w:left="1440" w:hanging="720"/>
        <w:rPr>
          <w:rFonts w:ascii="Arial" w:eastAsia="Times New Roman" w:hAnsi="Arial" w:cs="Arial"/>
        </w:rPr>
      </w:pPr>
      <w:r>
        <w:rPr>
          <w:rFonts w:ascii="Arial" w:eastAsia="Times New Roman" w:hAnsi="Arial" w:cs="Arial"/>
        </w:rPr>
        <w:t xml:space="preserve">05.03 </w:t>
      </w:r>
      <w:r w:rsidR="00A36598">
        <w:rPr>
          <w:rFonts w:ascii="Arial" w:eastAsia="Times New Roman" w:hAnsi="Arial" w:cs="Arial"/>
        </w:rPr>
        <w:tab/>
      </w:r>
      <w:r w:rsidR="00AB1A1E">
        <w:rPr>
          <w:rFonts w:ascii="Arial" w:eastAsia="Times New Roman" w:hAnsi="Arial" w:cs="Arial"/>
        </w:rPr>
        <w:t xml:space="preserve">The </w:t>
      </w:r>
      <w:r w:rsidR="00AB1A1E">
        <w:rPr>
          <w:rFonts w:ascii="Arial" w:eastAsia="Calibri" w:hAnsi="Arial" w:cs="Arial"/>
          <w:color w:val="000000"/>
        </w:rPr>
        <w:t xml:space="preserve">TSUS </w:t>
      </w:r>
      <w:r w:rsidR="00AB1A1E">
        <w:rPr>
          <w:rFonts w:ascii="Arial" w:eastAsia="Times New Roman" w:hAnsi="Arial" w:cs="Arial"/>
        </w:rPr>
        <w:t>Office of the General Counsel w</w:t>
      </w:r>
      <w:r w:rsidR="008A2562" w:rsidRPr="00D605D1">
        <w:rPr>
          <w:rFonts w:ascii="Arial" w:eastAsia="Times New Roman" w:hAnsi="Arial" w:cs="Arial"/>
        </w:rPr>
        <w:t xml:space="preserve">ill </w:t>
      </w:r>
      <w:r w:rsidR="00332F90">
        <w:rPr>
          <w:rFonts w:ascii="Arial" w:eastAsia="Times New Roman" w:hAnsi="Arial" w:cs="Arial"/>
        </w:rPr>
        <w:t>provide a copy of the</w:t>
      </w:r>
      <w:r w:rsidR="008A2562" w:rsidRPr="00D605D1">
        <w:rPr>
          <w:rFonts w:ascii="Arial" w:eastAsia="Times New Roman" w:hAnsi="Arial" w:cs="Arial"/>
        </w:rPr>
        <w:t xml:space="preserve"> </w:t>
      </w:r>
      <w:r>
        <w:rPr>
          <w:rFonts w:ascii="Arial" w:eastAsia="Times New Roman" w:hAnsi="Arial" w:cs="Arial"/>
        </w:rPr>
        <w:t xml:space="preserve">final </w:t>
      </w:r>
      <w:r w:rsidR="00810579">
        <w:rPr>
          <w:rFonts w:ascii="Arial" w:eastAsia="Times New Roman" w:hAnsi="Arial" w:cs="Arial"/>
        </w:rPr>
        <w:t>settlement or judgm</w:t>
      </w:r>
      <w:r w:rsidR="00745660">
        <w:rPr>
          <w:rFonts w:ascii="Arial" w:eastAsia="Times New Roman" w:hAnsi="Arial" w:cs="Arial"/>
        </w:rPr>
        <w:t>e</w:t>
      </w:r>
      <w:r w:rsidR="00810579">
        <w:rPr>
          <w:rFonts w:ascii="Arial" w:eastAsia="Times New Roman" w:hAnsi="Arial" w:cs="Arial"/>
        </w:rPr>
        <w:t xml:space="preserve">nt agreements </w:t>
      </w:r>
      <w:r w:rsidR="008A2562" w:rsidRPr="00D605D1">
        <w:rPr>
          <w:rFonts w:ascii="Arial" w:eastAsia="Times New Roman" w:hAnsi="Arial" w:cs="Arial"/>
        </w:rPr>
        <w:t xml:space="preserve">to the </w:t>
      </w:r>
      <w:r w:rsidR="008A2562">
        <w:rPr>
          <w:rFonts w:ascii="Arial" w:eastAsia="Times New Roman" w:hAnsi="Arial" w:cs="Arial"/>
        </w:rPr>
        <w:t>assistant vice president for</w:t>
      </w:r>
      <w:r w:rsidR="008A2562" w:rsidRPr="00D605D1">
        <w:rPr>
          <w:rFonts w:ascii="Arial" w:eastAsia="Times New Roman" w:hAnsi="Arial" w:cs="Arial"/>
        </w:rPr>
        <w:t xml:space="preserve"> Human Resources</w:t>
      </w:r>
      <w:r w:rsidR="00E40344">
        <w:rPr>
          <w:rFonts w:ascii="Arial" w:eastAsia="Times New Roman" w:hAnsi="Arial" w:cs="Arial"/>
        </w:rPr>
        <w:t xml:space="preserve"> for action</w:t>
      </w:r>
      <w:r w:rsidR="00BF2968">
        <w:rPr>
          <w:rFonts w:ascii="Arial" w:eastAsia="Times New Roman" w:hAnsi="Arial" w:cs="Arial"/>
        </w:rPr>
        <w:t>.</w:t>
      </w:r>
    </w:p>
    <w:p w14:paraId="29DA56DD" w14:textId="77777777" w:rsidR="0058112F" w:rsidRPr="00D605D1" w:rsidRDefault="0058112F" w:rsidP="008A2562">
      <w:pPr>
        <w:ind w:left="1440" w:hanging="720"/>
        <w:rPr>
          <w:rFonts w:ascii="Arial" w:eastAsia="Times New Roman" w:hAnsi="Arial" w:cs="Arial"/>
        </w:rPr>
      </w:pPr>
    </w:p>
    <w:p w14:paraId="25115F2B" w14:textId="1D1D4367" w:rsidR="00BF2968" w:rsidRDefault="007B2E92" w:rsidP="00BC7513">
      <w:pPr>
        <w:tabs>
          <w:tab w:val="left" w:pos="1800"/>
        </w:tabs>
        <w:ind w:left="1440" w:hanging="720"/>
        <w:contextualSpacing/>
        <w:rPr>
          <w:rFonts w:ascii="Arial" w:eastAsia="Calibri" w:hAnsi="Arial" w:cs="Arial"/>
        </w:rPr>
      </w:pPr>
      <w:r>
        <w:rPr>
          <w:rFonts w:ascii="Arial" w:eastAsia="Calibri" w:hAnsi="Arial" w:cs="Arial"/>
        </w:rPr>
        <w:t>05.0</w:t>
      </w:r>
      <w:r w:rsidR="00D32848">
        <w:rPr>
          <w:rFonts w:ascii="Arial" w:eastAsia="Calibri" w:hAnsi="Arial" w:cs="Arial"/>
        </w:rPr>
        <w:t>4</w:t>
      </w:r>
      <w:r>
        <w:rPr>
          <w:rFonts w:ascii="Arial" w:eastAsia="Calibri" w:hAnsi="Arial" w:cs="Arial"/>
        </w:rPr>
        <w:t xml:space="preserve"> </w:t>
      </w:r>
      <w:r w:rsidR="00BC7513">
        <w:rPr>
          <w:rFonts w:ascii="Arial" w:eastAsia="Calibri" w:hAnsi="Arial" w:cs="Arial"/>
        </w:rPr>
        <w:tab/>
      </w:r>
      <w:r w:rsidR="00BF2968">
        <w:rPr>
          <w:rFonts w:ascii="Arial" w:eastAsia="Calibri" w:hAnsi="Arial" w:cs="Arial"/>
        </w:rPr>
        <w:t xml:space="preserve">Types of </w:t>
      </w:r>
      <w:r w:rsidR="0058112F">
        <w:rPr>
          <w:rFonts w:ascii="Arial" w:eastAsia="Calibri" w:hAnsi="Arial" w:cs="Arial"/>
        </w:rPr>
        <w:t>s</w:t>
      </w:r>
      <w:r w:rsidR="00BF2968">
        <w:rPr>
          <w:rFonts w:ascii="Arial" w:eastAsia="Calibri" w:hAnsi="Arial" w:cs="Arial"/>
        </w:rPr>
        <w:t xml:space="preserve">ettlement or </w:t>
      </w:r>
      <w:r w:rsidR="00D569DF">
        <w:rPr>
          <w:rFonts w:ascii="Arial" w:eastAsia="Calibri" w:hAnsi="Arial" w:cs="Arial"/>
        </w:rPr>
        <w:t>j</w:t>
      </w:r>
      <w:r w:rsidR="00BF2968">
        <w:rPr>
          <w:rFonts w:ascii="Arial" w:eastAsia="Calibri" w:hAnsi="Arial" w:cs="Arial"/>
        </w:rPr>
        <w:t>udgment</w:t>
      </w:r>
      <w:r w:rsidR="00D32848">
        <w:rPr>
          <w:rFonts w:ascii="Arial" w:eastAsia="Calibri" w:hAnsi="Arial" w:cs="Arial"/>
        </w:rPr>
        <w:t xml:space="preserve"> payments</w:t>
      </w:r>
      <w:r w:rsidR="0058112F">
        <w:rPr>
          <w:rFonts w:ascii="Arial" w:eastAsia="Calibri" w:hAnsi="Arial" w:cs="Arial"/>
        </w:rPr>
        <w:t xml:space="preserve"> include, but are not limited to:</w:t>
      </w:r>
    </w:p>
    <w:p w14:paraId="58960E71" w14:textId="77777777" w:rsidR="0058112F" w:rsidRDefault="0058112F" w:rsidP="005B668C">
      <w:pPr>
        <w:ind w:left="1440" w:hanging="720"/>
        <w:contextualSpacing/>
        <w:rPr>
          <w:rFonts w:ascii="Arial" w:eastAsia="Calibri" w:hAnsi="Arial" w:cs="Arial"/>
        </w:rPr>
      </w:pPr>
    </w:p>
    <w:p w14:paraId="4CD96319" w14:textId="245FFF1E" w:rsidR="005B668C" w:rsidRPr="00B95562" w:rsidRDefault="00752607" w:rsidP="00B95562">
      <w:pPr>
        <w:ind w:left="1800" w:hanging="360"/>
        <w:rPr>
          <w:rFonts w:ascii="Arial" w:eastAsia="Times New Roman" w:hAnsi="Arial" w:cs="Arial"/>
        </w:rPr>
      </w:pPr>
      <w:r w:rsidRPr="00B95562">
        <w:rPr>
          <w:rFonts w:ascii="Arial" w:eastAsia="Times New Roman" w:hAnsi="Arial" w:cs="Arial"/>
        </w:rPr>
        <w:t xml:space="preserve">a. </w:t>
      </w:r>
      <w:r w:rsidR="00B95562">
        <w:rPr>
          <w:rFonts w:ascii="Arial" w:eastAsia="Times New Roman" w:hAnsi="Arial" w:cs="Arial"/>
        </w:rPr>
        <w:t xml:space="preserve"> </w:t>
      </w:r>
      <w:r w:rsidR="00BC7513">
        <w:rPr>
          <w:rFonts w:ascii="Arial" w:eastAsia="Times New Roman" w:hAnsi="Arial" w:cs="Arial"/>
        </w:rPr>
        <w:tab/>
      </w:r>
      <w:r w:rsidR="00D605D1" w:rsidRPr="00B95562">
        <w:rPr>
          <w:rFonts w:ascii="Arial" w:eastAsia="Times New Roman" w:hAnsi="Arial" w:cs="Arial"/>
        </w:rPr>
        <w:t xml:space="preserve">Severance </w:t>
      </w:r>
      <w:r w:rsidR="00F21FC9">
        <w:rPr>
          <w:rFonts w:ascii="Arial" w:eastAsia="Times New Roman" w:hAnsi="Arial" w:cs="Arial"/>
        </w:rPr>
        <w:t>P</w:t>
      </w:r>
      <w:r w:rsidR="00D605D1" w:rsidRPr="00B95562">
        <w:rPr>
          <w:rFonts w:ascii="Arial" w:eastAsia="Times New Roman" w:hAnsi="Arial" w:cs="Arial"/>
        </w:rPr>
        <w:t>ay</w:t>
      </w:r>
      <w:r w:rsidR="006C3100" w:rsidRPr="00B95562">
        <w:rPr>
          <w:rFonts w:ascii="Arial" w:eastAsia="Times New Roman" w:hAnsi="Arial" w:cs="Arial"/>
        </w:rPr>
        <w:t xml:space="preserve"> </w:t>
      </w:r>
      <w:r w:rsidR="00663DB3" w:rsidRPr="00B95562">
        <w:rPr>
          <w:rFonts w:ascii="Arial" w:eastAsia="Times New Roman" w:hAnsi="Arial" w:cs="Arial"/>
        </w:rPr>
        <w:t xml:space="preserve">– </w:t>
      </w:r>
      <w:r w:rsidR="00D605D1" w:rsidRPr="00B95562">
        <w:rPr>
          <w:rFonts w:ascii="Arial" w:eastAsia="Times New Roman" w:hAnsi="Arial" w:cs="Arial"/>
        </w:rPr>
        <w:t xml:space="preserve">a payment made by an employer to an employee upon termination of employment. </w:t>
      </w:r>
      <w:r w:rsidR="005B668C" w:rsidRPr="00B95562">
        <w:rPr>
          <w:rFonts w:ascii="Arial" w:eastAsia="Times New Roman" w:hAnsi="Arial" w:cs="Arial"/>
        </w:rPr>
        <w:t>Employment tax regulations provide that any payments made by an employer to an employee, on account of separation from the service of the employer, constitute wages for employment tax purposes (FICA and income tax withholding) and taxable income for reporting purposes</w:t>
      </w:r>
      <w:r w:rsidR="00590F09" w:rsidRPr="00B95562">
        <w:rPr>
          <w:rFonts w:ascii="Arial" w:eastAsia="Times New Roman" w:hAnsi="Arial" w:cs="Arial"/>
        </w:rPr>
        <w:t>,</w:t>
      </w:r>
      <w:r w:rsidR="005B668C" w:rsidRPr="00B95562">
        <w:rPr>
          <w:rFonts w:ascii="Arial" w:eastAsia="Times New Roman" w:hAnsi="Arial" w:cs="Arial"/>
        </w:rPr>
        <w:t xml:space="preserve"> regardless of whether the employer is legally bound by contract, statute, or otherwise, to make such payments.</w:t>
      </w:r>
    </w:p>
    <w:p w14:paraId="4ABB8235" w14:textId="77777777" w:rsidR="00D605D1" w:rsidRPr="00D605D1" w:rsidRDefault="00D605D1">
      <w:pPr>
        <w:ind w:left="1620" w:hanging="180"/>
        <w:contextualSpacing/>
        <w:rPr>
          <w:rFonts w:ascii="Arial" w:eastAsia="Calibri" w:hAnsi="Arial" w:cs="Arial"/>
        </w:rPr>
      </w:pPr>
    </w:p>
    <w:p w14:paraId="167F1A13" w14:textId="23EF0A04" w:rsidR="00D605D1" w:rsidRPr="00B95562" w:rsidRDefault="00752607" w:rsidP="00B95562">
      <w:pPr>
        <w:ind w:left="1800" w:hanging="360"/>
        <w:rPr>
          <w:rFonts w:ascii="Arial" w:eastAsia="Times New Roman" w:hAnsi="Arial" w:cs="Arial"/>
        </w:rPr>
      </w:pPr>
      <w:r w:rsidRPr="00B95562">
        <w:rPr>
          <w:rFonts w:ascii="Arial" w:eastAsia="Times New Roman" w:hAnsi="Arial" w:cs="Arial"/>
        </w:rPr>
        <w:t>b.</w:t>
      </w:r>
      <w:r w:rsidR="00B95562">
        <w:rPr>
          <w:rFonts w:ascii="Arial" w:eastAsia="Times New Roman" w:hAnsi="Arial" w:cs="Arial"/>
        </w:rPr>
        <w:t xml:space="preserve"> </w:t>
      </w:r>
      <w:r w:rsidRPr="00B95562">
        <w:rPr>
          <w:rFonts w:ascii="Arial" w:eastAsia="Times New Roman" w:hAnsi="Arial" w:cs="Arial"/>
        </w:rPr>
        <w:t xml:space="preserve"> </w:t>
      </w:r>
      <w:r w:rsidR="00BC7513">
        <w:rPr>
          <w:rFonts w:ascii="Arial" w:eastAsia="Times New Roman" w:hAnsi="Arial" w:cs="Arial"/>
        </w:rPr>
        <w:tab/>
      </w:r>
      <w:r w:rsidR="00D605D1" w:rsidRPr="00B95562">
        <w:rPr>
          <w:rFonts w:ascii="Arial" w:eastAsia="Times New Roman" w:hAnsi="Arial" w:cs="Arial"/>
        </w:rPr>
        <w:t xml:space="preserve">Back </w:t>
      </w:r>
      <w:r w:rsidR="00F21FC9">
        <w:rPr>
          <w:rFonts w:ascii="Arial" w:eastAsia="Times New Roman" w:hAnsi="Arial" w:cs="Arial"/>
        </w:rPr>
        <w:t>P</w:t>
      </w:r>
      <w:r w:rsidR="00D605D1" w:rsidRPr="00B95562">
        <w:rPr>
          <w:rFonts w:ascii="Arial" w:eastAsia="Times New Roman" w:hAnsi="Arial" w:cs="Arial"/>
        </w:rPr>
        <w:t>ay</w:t>
      </w:r>
      <w:r w:rsidR="006C3100" w:rsidRPr="00B95562">
        <w:rPr>
          <w:rFonts w:ascii="Arial" w:eastAsia="Times New Roman" w:hAnsi="Arial" w:cs="Arial"/>
        </w:rPr>
        <w:t xml:space="preserve"> </w:t>
      </w:r>
      <w:r w:rsidR="00663DB3" w:rsidRPr="00B95562">
        <w:rPr>
          <w:rFonts w:ascii="Arial" w:eastAsia="Times New Roman" w:hAnsi="Arial" w:cs="Arial"/>
        </w:rPr>
        <w:t xml:space="preserve">– </w:t>
      </w:r>
      <w:r w:rsidR="00D605D1" w:rsidRPr="00B95562">
        <w:rPr>
          <w:rFonts w:ascii="Arial" w:eastAsia="Times New Roman" w:hAnsi="Arial" w:cs="Arial"/>
        </w:rPr>
        <w:t xml:space="preserve">compensation paid to an individual for remuneration due at the time of settlement or court award and relates to a period when the individual performed no services for the employer. Back pay is wages for </w:t>
      </w:r>
      <w:r w:rsidR="009A77DC" w:rsidRPr="00B95562">
        <w:rPr>
          <w:rFonts w:ascii="Arial" w:eastAsia="Times New Roman" w:hAnsi="Arial" w:cs="Arial"/>
        </w:rPr>
        <w:t>employment tax purposes (</w:t>
      </w:r>
      <w:r w:rsidR="00D605D1" w:rsidRPr="00B95562">
        <w:rPr>
          <w:rFonts w:ascii="Arial" w:eastAsia="Times New Roman" w:hAnsi="Arial" w:cs="Arial"/>
        </w:rPr>
        <w:t>FICA and income tax withholding</w:t>
      </w:r>
      <w:r w:rsidR="009A77DC" w:rsidRPr="00B95562">
        <w:rPr>
          <w:rFonts w:ascii="Arial" w:eastAsia="Times New Roman" w:hAnsi="Arial" w:cs="Arial"/>
        </w:rPr>
        <w:t xml:space="preserve">) and taxable income for reporting </w:t>
      </w:r>
      <w:r w:rsidR="00D605D1" w:rsidRPr="00B95562">
        <w:rPr>
          <w:rFonts w:ascii="Arial" w:eastAsia="Times New Roman" w:hAnsi="Arial" w:cs="Arial"/>
        </w:rPr>
        <w:t>purposes, except when received on account of a personal physical injury or physical sickness. Back pay is allocated to periods in which the individual should have received wages for social security benefit purposes only, not the computation of FICA tax.</w:t>
      </w:r>
    </w:p>
    <w:p w14:paraId="2518172E" w14:textId="77777777" w:rsidR="00D605D1" w:rsidRPr="00D605D1" w:rsidRDefault="00D605D1">
      <w:pPr>
        <w:ind w:left="1620" w:hanging="180"/>
        <w:rPr>
          <w:rFonts w:ascii="Arial" w:eastAsia="Calibri" w:hAnsi="Arial" w:cs="Arial"/>
        </w:rPr>
      </w:pPr>
    </w:p>
    <w:p w14:paraId="283E161B" w14:textId="11CAED34" w:rsidR="00D605D1" w:rsidRPr="00B95562" w:rsidRDefault="00752607" w:rsidP="00B95562">
      <w:pPr>
        <w:ind w:left="1800" w:hanging="360"/>
        <w:rPr>
          <w:rFonts w:ascii="Arial" w:eastAsia="Times New Roman" w:hAnsi="Arial" w:cs="Arial"/>
        </w:rPr>
      </w:pPr>
      <w:r w:rsidRPr="00B95562">
        <w:rPr>
          <w:rFonts w:ascii="Arial" w:eastAsia="Times New Roman" w:hAnsi="Arial" w:cs="Arial"/>
        </w:rPr>
        <w:t xml:space="preserve">c. </w:t>
      </w:r>
      <w:r w:rsidR="00B95562">
        <w:rPr>
          <w:rFonts w:ascii="Arial" w:eastAsia="Times New Roman" w:hAnsi="Arial" w:cs="Arial"/>
        </w:rPr>
        <w:t xml:space="preserve"> </w:t>
      </w:r>
      <w:r w:rsidR="00BC7513">
        <w:rPr>
          <w:rFonts w:ascii="Arial" w:eastAsia="Times New Roman" w:hAnsi="Arial" w:cs="Arial"/>
        </w:rPr>
        <w:tab/>
      </w:r>
      <w:r w:rsidR="00D605D1" w:rsidRPr="00B95562">
        <w:rPr>
          <w:rFonts w:ascii="Arial" w:eastAsia="Times New Roman" w:hAnsi="Arial" w:cs="Arial"/>
        </w:rPr>
        <w:t xml:space="preserve">Front </w:t>
      </w:r>
      <w:r w:rsidR="00F21FC9">
        <w:rPr>
          <w:rFonts w:ascii="Arial" w:eastAsia="Times New Roman" w:hAnsi="Arial" w:cs="Arial"/>
        </w:rPr>
        <w:t>P</w:t>
      </w:r>
      <w:r w:rsidR="00D605D1" w:rsidRPr="00B95562">
        <w:rPr>
          <w:rFonts w:ascii="Arial" w:eastAsia="Times New Roman" w:hAnsi="Arial" w:cs="Arial"/>
        </w:rPr>
        <w:t>ay</w:t>
      </w:r>
      <w:r w:rsidR="006C3100" w:rsidRPr="00B95562">
        <w:rPr>
          <w:rFonts w:ascii="Arial" w:eastAsia="Times New Roman" w:hAnsi="Arial" w:cs="Arial"/>
        </w:rPr>
        <w:t xml:space="preserve"> </w:t>
      </w:r>
      <w:r w:rsidR="00663DB3" w:rsidRPr="00B95562">
        <w:rPr>
          <w:rFonts w:ascii="Arial" w:eastAsia="Times New Roman" w:hAnsi="Arial" w:cs="Arial"/>
        </w:rPr>
        <w:t xml:space="preserve">– </w:t>
      </w:r>
      <w:r w:rsidR="006C3100" w:rsidRPr="00B95562">
        <w:rPr>
          <w:rFonts w:ascii="Arial" w:eastAsia="Times New Roman" w:hAnsi="Arial" w:cs="Arial"/>
        </w:rPr>
        <w:t>payment</w:t>
      </w:r>
      <w:r w:rsidR="00D605D1" w:rsidRPr="00B95562">
        <w:rPr>
          <w:rFonts w:ascii="Arial" w:eastAsia="Times New Roman" w:hAnsi="Arial" w:cs="Arial"/>
        </w:rPr>
        <w:t xml:space="preserve"> paid to an individual to compensate for remuneration the individual would have received after the settlement date or court award. Front pay is wages for employment tax purposes</w:t>
      </w:r>
      <w:r w:rsidR="009A77DC" w:rsidRPr="00B95562">
        <w:rPr>
          <w:rFonts w:ascii="Arial" w:eastAsia="Times New Roman" w:hAnsi="Arial" w:cs="Arial"/>
        </w:rPr>
        <w:t xml:space="preserve"> (FICA and income tax withholding) and taxable income for reporting purposes</w:t>
      </w:r>
      <w:r w:rsidR="00D605D1" w:rsidRPr="00B95562">
        <w:rPr>
          <w:rFonts w:ascii="Arial" w:eastAsia="Times New Roman" w:hAnsi="Arial" w:cs="Arial"/>
        </w:rPr>
        <w:t xml:space="preserve">. Back pay and front pay paid to individuals who are not hired as employees because of violation of workers’ rights or civil rights statutes are </w:t>
      </w:r>
      <w:r w:rsidR="003B116C" w:rsidRPr="00B95562">
        <w:rPr>
          <w:rFonts w:ascii="Arial" w:eastAsia="Times New Roman" w:hAnsi="Arial" w:cs="Arial"/>
        </w:rPr>
        <w:t xml:space="preserve">still </w:t>
      </w:r>
      <w:r w:rsidR="00D605D1" w:rsidRPr="00B95562">
        <w:rPr>
          <w:rFonts w:ascii="Arial" w:eastAsia="Times New Roman" w:hAnsi="Arial" w:cs="Arial"/>
        </w:rPr>
        <w:t>wages for employment tax purposes.</w:t>
      </w:r>
    </w:p>
    <w:p w14:paraId="70E2CDD7" w14:textId="77777777" w:rsidR="00D605D1" w:rsidRPr="00632805" w:rsidRDefault="00D605D1">
      <w:pPr>
        <w:ind w:left="1620" w:hanging="180"/>
        <w:rPr>
          <w:rFonts w:ascii="Arial" w:hAnsi="Arial"/>
          <w:sz w:val="28"/>
        </w:rPr>
      </w:pPr>
    </w:p>
    <w:p w14:paraId="47FFAE9C" w14:textId="18B56BE5" w:rsidR="00D605D1" w:rsidRPr="00B95562" w:rsidRDefault="00D569DF" w:rsidP="00B95562">
      <w:pPr>
        <w:ind w:left="1800" w:hanging="360"/>
        <w:rPr>
          <w:rFonts w:ascii="Arial" w:eastAsia="Times New Roman" w:hAnsi="Arial" w:cs="Arial"/>
        </w:rPr>
      </w:pPr>
      <w:r w:rsidRPr="00B95562">
        <w:rPr>
          <w:rFonts w:ascii="Arial" w:eastAsia="Times New Roman" w:hAnsi="Arial" w:cs="Arial"/>
        </w:rPr>
        <w:t>d.</w:t>
      </w:r>
      <w:r w:rsidR="00B95562">
        <w:rPr>
          <w:rFonts w:ascii="Arial" w:eastAsia="Times New Roman" w:hAnsi="Arial" w:cs="Arial"/>
        </w:rPr>
        <w:t xml:space="preserve">  </w:t>
      </w:r>
      <w:r w:rsidR="00BC7513">
        <w:rPr>
          <w:rFonts w:ascii="Arial" w:eastAsia="Times New Roman" w:hAnsi="Arial" w:cs="Arial"/>
        </w:rPr>
        <w:tab/>
      </w:r>
      <w:r w:rsidR="00D605D1" w:rsidRPr="00B95562">
        <w:rPr>
          <w:rFonts w:ascii="Arial" w:eastAsia="Times New Roman" w:hAnsi="Arial" w:cs="Arial"/>
        </w:rPr>
        <w:t xml:space="preserve">Compensatory or </w:t>
      </w:r>
      <w:r w:rsidR="00F21FC9">
        <w:rPr>
          <w:rFonts w:ascii="Arial" w:eastAsia="Times New Roman" w:hAnsi="Arial" w:cs="Arial"/>
        </w:rPr>
        <w:t>C</w:t>
      </w:r>
      <w:r w:rsidR="00D605D1" w:rsidRPr="00B95562">
        <w:rPr>
          <w:rFonts w:ascii="Arial" w:eastAsia="Times New Roman" w:hAnsi="Arial" w:cs="Arial"/>
        </w:rPr>
        <w:t xml:space="preserve">onsequential </w:t>
      </w:r>
      <w:r w:rsidR="00F21FC9">
        <w:rPr>
          <w:rFonts w:ascii="Arial" w:eastAsia="Times New Roman" w:hAnsi="Arial" w:cs="Arial"/>
        </w:rPr>
        <w:t>D</w:t>
      </w:r>
      <w:r w:rsidR="00D605D1" w:rsidRPr="00B95562">
        <w:rPr>
          <w:rFonts w:ascii="Arial" w:eastAsia="Times New Roman" w:hAnsi="Arial" w:cs="Arial"/>
        </w:rPr>
        <w:t>amages</w:t>
      </w:r>
      <w:r w:rsidR="006C3100" w:rsidRPr="00B95562">
        <w:rPr>
          <w:rFonts w:ascii="Arial" w:eastAsia="Times New Roman" w:hAnsi="Arial" w:cs="Arial"/>
        </w:rPr>
        <w:t xml:space="preserve"> </w:t>
      </w:r>
      <w:r w:rsidR="00663DB3" w:rsidRPr="00B95562">
        <w:rPr>
          <w:rFonts w:ascii="Arial" w:eastAsia="Times New Roman" w:hAnsi="Arial" w:cs="Arial"/>
        </w:rPr>
        <w:t xml:space="preserve">– </w:t>
      </w:r>
      <w:r w:rsidR="006014FF" w:rsidRPr="00B95562">
        <w:rPr>
          <w:rFonts w:ascii="Arial" w:eastAsia="Times New Roman" w:hAnsi="Arial" w:cs="Arial"/>
        </w:rPr>
        <w:t>c</w:t>
      </w:r>
      <w:r w:rsidR="00D605D1" w:rsidRPr="00B95562">
        <w:rPr>
          <w:rFonts w:ascii="Arial" w:eastAsia="Times New Roman" w:hAnsi="Arial" w:cs="Arial"/>
        </w:rPr>
        <w:t>ompensatory damages include compensation for personal physical injuries, physical sickness</w:t>
      </w:r>
      <w:r w:rsidR="00F82E91" w:rsidRPr="00B95562">
        <w:rPr>
          <w:rFonts w:ascii="Arial" w:eastAsia="Times New Roman" w:hAnsi="Arial" w:cs="Arial"/>
        </w:rPr>
        <w:t>,</w:t>
      </w:r>
      <w:r w:rsidR="00D605D1" w:rsidRPr="00B95562">
        <w:rPr>
          <w:rFonts w:ascii="Arial" w:eastAsia="Times New Roman" w:hAnsi="Arial" w:cs="Arial"/>
        </w:rPr>
        <w:t xml:space="preserve"> and medical care related to emotional distress resulting from bodily injury. Consequential damages are compensation for damage, loss, or injury that are consequences or results of </w:t>
      </w:r>
      <w:r w:rsidR="00663DB3" w:rsidRPr="00B95562">
        <w:rPr>
          <w:rFonts w:ascii="Arial" w:eastAsia="Times New Roman" w:hAnsi="Arial" w:cs="Arial"/>
        </w:rPr>
        <w:t xml:space="preserve">a </w:t>
      </w:r>
      <w:r w:rsidR="00D605D1" w:rsidRPr="00B95562">
        <w:rPr>
          <w:rFonts w:ascii="Arial" w:eastAsia="Times New Roman" w:hAnsi="Arial" w:cs="Arial"/>
        </w:rPr>
        <w:t xml:space="preserve">negligent act. Compensatory or consequential damages related to personal physical injury or sickness are </w:t>
      </w:r>
      <w:r w:rsidR="00407529" w:rsidRPr="00B95562">
        <w:rPr>
          <w:rFonts w:ascii="Arial" w:eastAsia="Times New Roman" w:hAnsi="Arial" w:cs="Arial"/>
        </w:rPr>
        <w:t xml:space="preserve">excludable </w:t>
      </w:r>
      <w:r w:rsidR="00850FFA" w:rsidRPr="00B95562">
        <w:rPr>
          <w:rFonts w:ascii="Arial" w:eastAsia="Times New Roman" w:hAnsi="Arial" w:cs="Arial"/>
        </w:rPr>
        <w:t xml:space="preserve">from gross income and are not wages </w:t>
      </w:r>
      <w:r w:rsidR="00850FFA" w:rsidRPr="00B95562">
        <w:rPr>
          <w:rFonts w:ascii="Arial" w:eastAsia="Times New Roman" w:hAnsi="Arial" w:cs="Arial"/>
        </w:rPr>
        <w:lastRenderedPageBreak/>
        <w:t>for FICA or income tax withholding purposes</w:t>
      </w:r>
      <w:r w:rsidR="00D605D1" w:rsidRPr="00B95562">
        <w:rPr>
          <w:rFonts w:ascii="Arial" w:eastAsia="Times New Roman" w:hAnsi="Arial" w:cs="Arial"/>
        </w:rPr>
        <w:t>. Compensatory damages may include taxable awards not related to physical injury, sickness</w:t>
      </w:r>
      <w:r w:rsidR="00F82E91" w:rsidRPr="00B95562">
        <w:rPr>
          <w:rFonts w:ascii="Arial" w:eastAsia="Times New Roman" w:hAnsi="Arial" w:cs="Arial"/>
        </w:rPr>
        <w:t>,</w:t>
      </w:r>
      <w:r w:rsidR="00D605D1" w:rsidRPr="00B95562">
        <w:rPr>
          <w:rFonts w:ascii="Arial" w:eastAsia="Times New Roman" w:hAnsi="Arial" w:cs="Arial"/>
        </w:rPr>
        <w:t xml:space="preserve"> or employment-related disputes.</w:t>
      </w:r>
    </w:p>
    <w:p w14:paraId="36DA7A1A" w14:textId="77777777" w:rsidR="00D605D1" w:rsidRPr="00D605D1" w:rsidRDefault="00D605D1">
      <w:pPr>
        <w:ind w:left="1620" w:hanging="180"/>
        <w:rPr>
          <w:rFonts w:ascii="Arial" w:eastAsia="Calibri" w:hAnsi="Arial" w:cs="Arial"/>
        </w:rPr>
      </w:pPr>
    </w:p>
    <w:p w14:paraId="768B12B4" w14:textId="06AF9360" w:rsidR="006E4C58" w:rsidRPr="00B95562" w:rsidRDefault="00D569DF" w:rsidP="00B95562">
      <w:pPr>
        <w:ind w:left="1800" w:hanging="360"/>
        <w:rPr>
          <w:rFonts w:ascii="Arial" w:eastAsia="Times New Roman" w:hAnsi="Arial" w:cs="Arial"/>
        </w:rPr>
      </w:pPr>
      <w:r w:rsidRPr="00B95562">
        <w:rPr>
          <w:rFonts w:ascii="Arial" w:eastAsia="Times New Roman" w:hAnsi="Arial" w:cs="Arial"/>
        </w:rPr>
        <w:t xml:space="preserve">e. </w:t>
      </w:r>
      <w:r w:rsidR="00B95562">
        <w:rPr>
          <w:rFonts w:ascii="Arial" w:eastAsia="Times New Roman" w:hAnsi="Arial" w:cs="Arial"/>
        </w:rPr>
        <w:t xml:space="preserve"> </w:t>
      </w:r>
      <w:r w:rsidR="00BC7513">
        <w:rPr>
          <w:rFonts w:ascii="Arial" w:eastAsia="Times New Roman" w:hAnsi="Arial" w:cs="Arial"/>
        </w:rPr>
        <w:tab/>
      </w:r>
      <w:r w:rsidR="00D605D1" w:rsidRPr="00B95562">
        <w:rPr>
          <w:rFonts w:ascii="Arial" w:eastAsia="Times New Roman" w:hAnsi="Arial" w:cs="Arial"/>
        </w:rPr>
        <w:t xml:space="preserve">Attorney </w:t>
      </w:r>
      <w:r w:rsidR="00F21FC9">
        <w:rPr>
          <w:rFonts w:ascii="Arial" w:eastAsia="Times New Roman" w:hAnsi="Arial" w:cs="Arial"/>
        </w:rPr>
        <w:t>F</w:t>
      </w:r>
      <w:r w:rsidR="00D605D1" w:rsidRPr="00B95562">
        <w:rPr>
          <w:rFonts w:ascii="Arial" w:eastAsia="Times New Roman" w:hAnsi="Arial" w:cs="Arial"/>
        </w:rPr>
        <w:t>ees</w:t>
      </w:r>
      <w:r w:rsidR="006C3100" w:rsidRPr="00B95562">
        <w:rPr>
          <w:rFonts w:ascii="Arial" w:eastAsia="Times New Roman" w:hAnsi="Arial" w:cs="Arial"/>
        </w:rPr>
        <w:t xml:space="preserve"> </w:t>
      </w:r>
      <w:r w:rsidR="00663DB3" w:rsidRPr="00B95562">
        <w:rPr>
          <w:rFonts w:ascii="Arial" w:eastAsia="Times New Roman" w:hAnsi="Arial" w:cs="Arial"/>
        </w:rPr>
        <w:t xml:space="preserve">– </w:t>
      </w:r>
      <w:r w:rsidR="006C3100" w:rsidRPr="00B95562">
        <w:rPr>
          <w:rFonts w:ascii="Arial" w:eastAsia="Times New Roman" w:hAnsi="Arial" w:cs="Arial"/>
        </w:rPr>
        <w:t>t</w:t>
      </w:r>
      <w:r w:rsidR="00D605D1" w:rsidRPr="00B95562">
        <w:rPr>
          <w:rFonts w:ascii="Arial" w:eastAsia="Times New Roman" w:hAnsi="Arial" w:cs="Arial"/>
        </w:rPr>
        <w:t>he IRS’s position is that, generally, fees awarded to prevailing plaintiffs under federal and state statutes belong to the plaintiff and not the attorney; therefore</w:t>
      </w:r>
      <w:r w:rsidR="006C3100" w:rsidRPr="00B95562">
        <w:rPr>
          <w:rFonts w:ascii="Arial" w:eastAsia="Times New Roman" w:hAnsi="Arial" w:cs="Arial"/>
        </w:rPr>
        <w:t>,</w:t>
      </w:r>
      <w:r w:rsidR="00D605D1" w:rsidRPr="00B95562">
        <w:rPr>
          <w:rFonts w:ascii="Arial" w:eastAsia="Times New Roman" w:hAnsi="Arial" w:cs="Arial"/>
        </w:rPr>
        <w:t xml:space="preserve"> attorney fees constitute an item of gross income to the client</w:t>
      </w:r>
      <w:r w:rsidR="0097565B" w:rsidRPr="00B95562">
        <w:rPr>
          <w:rFonts w:ascii="Arial" w:eastAsia="Times New Roman" w:hAnsi="Arial" w:cs="Arial"/>
        </w:rPr>
        <w:t xml:space="preserve"> and may be subject to taxation</w:t>
      </w:r>
      <w:r w:rsidR="00D605D1" w:rsidRPr="00B95562">
        <w:rPr>
          <w:rFonts w:ascii="Arial" w:eastAsia="Times New Roman" w:hAnsi="Arial" w:cs="Arial"/>
        </w:rPr>
        <w:t>.</w:t>
      </w:r>
      <w:r w:rsidR="0097565B" w:rsidRPr="00B95562">
        <w:rPr>
          <w:rFonts w:ascii="Arial" w:eastAsia="Times New Roman" w:hAnsi="Arial" w:cs="Arial"/>
        </w:rPr>
        <w:t xml:space="preserve">  </w:t>
      </w:r>
    </w:p>
    <w:p w14:paraId="50598CBC" w14:textId="77777777" w:rsidR="003C54E3" w:rsidRPr="00F82E91" w:rsidRDefault="003C54E3" w:rsidP="00D605D1">
      <w:pPr>
        <w:ind w:left="1440" w:hanging="720"/>
        <w:rPr>
          <w:rFonts w:ascii="Arial" w:eastAsia="Calibri" w:hAnsi="Arial" w:cs="Arial"/>
        </w:rPr>
      </w:pPr>
    </w:p>
    <w:p w14:paraId="1678E031" w14:textId="77777777" w:rsidR="00D605D1" w:rsidRPr="005C4A19" w:rsidRDefault="00D605D1" w:rsidP="00E76289">
      <w:pPr>
        <w:rPr>
          <w:rFonts w:ascii="Arial" w:eastAsia="Times New Roman" w:hAnsi="Arial" w:cs="Arial"/>
          <w:b/>
        </w:rPr>
      </w:pPr>
      <w:r w:rsidRPr="005C4A19">
        <w:rPr>
          <w:rFonts w:ascii="Arial" w:eastAsia="Times New Roman" w:hAnsi="Arial" w:cs="Arial"/>
          <w:b/>
        </w:rPr>
        <w:t>06.</w:t>
      </w:r>
      <w:r w:rsidRPr="005C4A19">
        <w:rPr>
          <w:rFonts w:ascii="Arial" w:eastAsia="Times New Roman" w:hAnsi="Arial" w:cs="Arial"/>
          <w:b/>
        </w:rPr>
        <w:tab/>
        <w:t>TAXABILITY OF JUDGMENT OR SETTLEMENT</w:t>
      </w:r>
    </w:p>
    <w:p w14:paraId="363D6DC0" w14:textId="77777777" w:rsidR="00D605D1" w:rsidRPr="00D605D1" w:rsidRDefault="00D605D1" w:rsidP="00D605D1">
      <w:pPr>
        <w:rPr>
          <w:rFonts w:ascii="Arial" w:eastAsia="Times New Roman" w:hAnsi="Arial" w:cs="Arial"/>
        </w:rPr>
      </w:pPr>
    </w:p>
    <w:p w14:paraId="50CA9D54" w14:textId="4A6469BC" w:rsidR="00F21FC9" w:rsidRDefault="00D605D1" w:rsidP="00F21FC9">
      <w:pPr>
        <w:ind w:left="1440" w:hanging="720"/>
        <w:rPr>
          <w:rFonts w:ascii="Arial" w:eastAsia="Times New Roman" w:hAnsi="Arial" w:cs="Arial"/>
        </w:rPr>
      </w:pPr>
      <w:r w:rsidRPr="00D605D1">
        <w:rPr>
          <w:rFonts w:ascii="Arial" w:eastAsia="Times New Roman" w:hAnsi="Arial" w:cs="Arial"/>
        </w:rPr>
        <w:t>06.01</w:t>
      </w:r>
      <w:r w:rsidRPr="00D605D1">
        <w:rPr>
          <w:rFonts w:ascii="Arial" w:eastAsia="Times New Roman" w:hAnsi="Arial" w:cs="Arial"/>
        </w:rPr>
        <w:tab/>
      </w:r>
      <w:r w:rsidR="00641D1C">
        <w:rPr>
          <w:rFonts w:ascii="Arial" w:eastAsia="Calibri" w:hAnsi="Arial" w:cs="Arial"/>
        </w:rPr>
        <w:t xml:space="preserve">The university cannot provide tax advice to individuals and recommends that </w:t>
      </w:r>
      <w:r w:rsidR="00D0093D">
        <w:rPr>
          <w:rFonts w:ascii="Arial" w:eastAsia="Calibri" w:hAnsi="Arial" w:cs="Arial"/>
        </w:rPr>
        <w:t>individuals</w:t>
      </w:r>
      <w:r w:rsidR="00641D1C">
        <w:rPr>
          <w:rFonts w:ascii="Arial" w:eastAsia="Calibri" w:hAnsi="Arial" w:cs="Arial"/>
        </w:rPr>
        <w:t xml:space="preserve"> receiving a judgment or settlement consult with a tax advisor. </w:t>
      </w:r>
      <w:r w:rsidRPr="00D605D1">
        <w:rPr>
          <w:rFonts w:ascii="Arial" w:eastAsia="Times New Roman" w:hAnsi="Arial" w:cs="Arial"/>
        </w:rPr>
        <w:t xml:space="preserve">The </w:t>
      </w:r>
      <w:r w:rsidR="006014FF">
        <w:rPr>
          <w:rFonts w:ascii="Arial" w:eastAsia="Times New Roman" w:hAnsi="Arial" w:cs="Arial"/>
        </w:rPr>
        <w:t>O</w:t>
      </w:r>
      <w:r w:rsidRPr="00D605D1">
        <w:rPr>
          <w:rFonts w:ascii="Arial" w:eastAsia="Times New Roman" w:hAnsi="Arial" w:cs="Arial"/>
        </w:rPr>
        <w:t xml:space="preserve">ffice of Payroll and Tax Compliance </w:t>
      </w:r>
      <w:r w:rsidR="00D35A84">
        <w:rPr>
          <w:rFonts w:ascii="Arial" w:eastAsia="Times New Roman" w:hAnsi="Arial" w:cs="Arial"/>
        </w:rPr>
        <w:t>will</w:t>
      </w:r>
      <w:r w:rsidR="00D35A84" w:rsidRPr="00D605D1">
        <w:rPr>
          <w:rFonts w:ascii="Arial" w:eastAsia="Times New Roman" w:hAnsi="Arial" w:cs="Arial"/>
        </w:rPr>
        <w:t xml:space="preserve"> </w:t>
      </w:r>
      <w:r w:rsidRPr="00D605D1">
        <w:rPr>
          <w:rFonts w:ascii="Arial" w:eastAsia="Times New Roman" w:hAnsi="Arial" w:cs="Arial"/>
        </w:rPr>
        <w:t>determine the correct treatment of employment-related judgment and settlement payments using the four</w:t>
      </w:r>
      <w:r w:rsidR="006014FF">
        <w:rPr>
          <w:rFonts w:ascii="Arial" w:eastAsia="Times New Roman" w:hAnsi="Arial" w:cs="Arial"/>
        </w:rPr>
        <w:t>-</w:t>
      </w:r>
      <w:r w:rsidRPr="00D605D1">
        <w:rPr>
          <w:rFonts w:ascii="Arial" w:eastAsia="Times New Roman" w:hAnsi="Arial" w:cs="Arial"/>
        </w:rPr>
        <w:t>step process outlined in IRS published guidance:</w:t>
      </w:r>
    </w:p>
    <w:p w14:paraId="09393CF9" w14:textId="337C4B21" w:rsidR="00F21FC9" w:rsidRDefault="00F21FC9" w:rsidP="00F21FC9">
      <w:pPr>
        <w:ind w:left="1440" w:hanging="720"/>
        <w:rPr>
          <w:rFonts w:ascii="Arial" w:eastAsia="Times New Roman" w:hAnsi="Arial" w:cs="Arial"/>
        </w:rPr>
      </w:pPr>
    </w:p>
    <w:p w14:paraId="3957C781" w14:textId="76003352" w:rsidR="00C24243" w:rsidRDefault="00C24243" w:rsidP="00C24243">
      <w:pPr>
        <w:ind w:left="1800" w:hanging="360"/>
        <w:rPr>
          <w:rFonts w:ascii="Arial" w:eastAsia="Times New Roman" w:hAnsi="Arial" w:cs="Arial"/>
        </w:rPr>
      </w:pPr>
      <w:r>
        <w:rPr>
          <w:rFonts w:ascii="Arial" w:eastAsia="Times New Roman" w:hAnsi="Arial" w:cs="Arial"/>
        </w:rPr>
        <w:t xml:space="preserve">a. </w:t>
      </w:r>
      <w:r>
        <w:rPr>
          <w:rFonts w:ascii="Arial" w:eastAsia="Times New Roman" w:hAnsi="Arial" w:cs="Arial"/>
        </w:rPr>
        <w:tab/>
      </w:r>
      <w:proofErr w:type="gramStart"/>
      <w:r>
        <w:rPr>
          <w:rFonts w:ascii="Arial" w:eastAsia="Times New Roman" w:hAnsi="Arial" w:cs="Arial"/>
        </w:rPr>
        <w:t>determine</w:t>
      </w:r>
      <w:proofErr w:type="gramEnd"/>
      <w:r>
        <w:rPr>
          <w:rFonts w:ascii="Arial" w:eastAsia="Times New Roman" w:hAnsi="Arial" w:cs="Arial"/>
        </w:rPr>
        <w:t xml:space="preserve"> the character of the payment and the nature of the claim that gave rise to the payment; </w:t>
      </w:r>
    </w:p>
    <w:p w14:paraId="00BDD6B1" w14:textId="0DE1E832" w:rsidR="00C24243" w:rsidRDefault="00C24243" w:rsidP="00C24243">
      <w:pPr>
        <w:ind w:left="1800" w:hanging="360"/>
        <w:rPr>
          <w:rFonts w:ascii="Arial" w:eastAsia="Times New Roman" w:hAnsi="Arial" w:cs="Arial"/>
        </w:rPr>
      </w:pPr>
    </w:p>
    <w:p w14:paraId="2E9579DE" w14:textId="2FBF7A0D" w:rsidR="00C24243" w:rsidRDefault="00C24243" w:rsidP="00C24243">
      <w:pPr>
        <w:ind w:left="1800" w:hanging="360"/>
        <w:rPr>
          <w:rFonts w:ascii="Arial" w:eastAsia="Times New Roman" w:hAnsi="Arial" w:cs="Arial"/>
        </w:rPr>
      </w:pPr>
      <w:r>
        <w:rPr>
          <w:rFonts w:ascii="Arial" w:eastAsia="Times New Roman" w:hAnsi="Arial" w:cs="Arial"/>
        </w:rPr>
        <w:t xml:space="preserve">b. </w:t>
      </w:r>
      <w:r>
        <w:rPr>
          <w:rFonts w:ascii="Arial" w:eastAsia="Times New Roman" w:hAnsi="Arial" w:cs="Arial"/>
        </w:rPr>
        <w:tab/>
      </w:r>
      <w:proofErr w:type="gramStart"/>
      <w:r>
        <w:rPr>
          <w:rFonts w:ascii="Arial" w:eastAsia="Times New Roman" w:hAnsi="Arial" w:cs="Arial"/>
        </w:rPr>
        <w:t>determine</w:t>
      </w:r>
      <w:proofErr w:type="gramEnd"/>
      <w:r>
        <w:rPr>
          <w:rFonts w:ascii="Arial" w:eastAsia="Times New Roman" w:hAnsi="Arial" w:cs="Arial"/>
        </w:rPr>
        <w:t xml:space="preserve"> whether the payment constitutes an item of gross (taxable) income; </w:t>
      </w:r>
    </w:p>
    <w:p w14:paraId="5FBA1F62" w14:textId="0252EA91" w:rsidR="00C24243" w:rsidRDefault="00C24243" w:rsidP="00C24243">
      <w:pPr>
        <w:ind w:left="1800" w:hanging="360"/>
        <w:rPr>
          <w:rFonts w:ascii="Arial" w:eastAsia="Times New Roman" w:hAnsi="Arial" w:cs="Arial"/>
        </w:rPr>
      </w:pPr>
    </w:p>
    <w:p w14:paraId="41FD68BC" w14:textId="767CD37C" w:rsidR="00C24243" w:rsidRDefault="00C24243" w:rsidP="00C24243">
      <w:pPr>
        <w:ind w:left="1800" w:hanging="360"/>
        <w:rPr>
          <w:rFonts w:ascii="Arial" w:eastAsia="Times New Roman" w:hAnsi="Arial" w:cs="Arial"/>
        </w:rPr>
      </w:pPr>
      <w:r>
        <w:rPr>
          <w:rFonts w:ascii="Arial" w:eastAsia="Times New Roman" w:hAnsi="Arial" w:cs="Arial"/>
        </w:rPr>
        <w:t xml:space="preserve">c. </w:t>
      </w:r>
      <w:r>
        <w:rPr>
          <w:rFonts w:ascii="Arial" w:eastAsia="Times New Roman" w:hAnsi="Arial" w:cs="Arial"/>
        </w:rPr>
        <w:tab/>
      </w:r>
      <w:proofErr w:type="gramStart"/>
      <w:r>
        <w:rPr>
          <w:rFonts w:ascii="Arial" w:eastAsia="Times New Roman" w:hAnsi="Arial" w:cs="Arial"/>
        </w:rPr>
        <w:t>determine</w:t>
      </w:r>
      <w:proofErr w:type="gramEnd"/>
      <w:r>
        <w:rPr>
          <w:rFonts w:ascii="Arial" w:eastAsia="Times New Roman" w:hAnsi="Arial" w:cs="Arial"/>
        </w:rPr>
        <w:t xml:space="preserve"> whether the payment is wages for employment tax purposes; and </w:t>
      </w:r>
    </w:p>
    <w:p w14:paraId="2DCA356F" w14:textId="4170A0B1" w:rsidR="00C24243" w:rsidRDefault="00C24243" w:rsidP="00C24243">
      <w:pPr>
        <w:ind w:left="1800" w:hanging="360"/>
        <w:rPr>
          <w:rFonts w:ascii="Arial" w:eastAsia="Times New Roman" w:hAnsi="Arial" w:cs="Arial"/>
        </w:rPr>
      </w:pPr>
    </w:p>
    <w:p w14:paraId="2C23B455" w14:textId="4E250369" w:rsidR="00F21FC9" w:rsidRPr="00C24243" w:rsidRDefault="00C24243" w:rsidP="00C24243">
      <w:pPr>
        <w:tabs>
          <w:tab w:val="left" w:pos="1890"/>
        </w:tabs>
        <w:ind w:left="1800" w:hanging="360"/>
        <w:rPr>
          <w:rFonts w:ascii="Arial" w:eastAsia="Times New Roman" w:hAnsi="Arial" w:cs="Arial"/>
        </w:rPr>
      </w:pPr>
      <w:r>
        <w:rPr>
          <w:rFonts w:ascii="Arial" w:eastAsia="Times New Roman" w:hAnsi="Arial" w:cs="Arial"/>
        </w:rPr>
        <w:t xml:space="preserve">d. </w:t>
      </w:r>
      <w:r>
        <w:rPr>
          <w:rFonts w:ascii="Arial" w:eastAsia="Times New Roman" w:hAnsi="Arial" w:cs="Arial"/>
        </w:rPr>
        <w:tab/>
      </w:r>
      <w:r>
        <w:rPr>
          <w:rFonts w:ascii="Arial" w:eastAsia="Times New Roman" w:hAnsi="Arial" w:cs="Arial"/>
          <w:color w:val="000000"/>
        </w:rPr>
        <w:t>d</w:t>
      </w:r>
      <w:r w:rsidRPr="00D605D1">
        <w:rPr>
          <w:rFonts w:ascii="Arial" w:eastAsia="Times New Roman" w:hAnsi="Arial" w:cs="Arial"/>
          <w:color w:val="000000"/>
        </w:rPr>
        <w:t>etermine the appropriate reporting f</w:t>
      </w:r>
      <w:r>
        <w:rPr>
          <w:rFonts w:ascii="Arial" w:eastAsia="Times New Roman" w:hAnsi="Arial" w:cs="Arial"/>
          <w:color w:val="000000"/>
        </w:rPr>
        <w:t>or the payment and any attorney</w:t>
      </w:r>
      <w:r w:rsidRPr="00D605D1">
        <w:rPr>
          <w:rFonts w:ascii="Arial" w:eastAsia="Times New Roman" w:hAnsi="Arial" w:cs="Arial"/>
          <w:color w:val="000000"/>
        </w:rPr>
        <w:t xml:space="preserve"> fees (</w:t>
      </w:r>
      <w:hyperlink r:id="rId21" w:history="1">
        <w:r w:rsidRPr="00F82E91">
          <w:rPr>
            <w:rStyle w:val="Hyperlink"/>
            <w:rFonts w:ascii="Arial" w:eastAsia="Times New Roman" w:hAnsi="Arial" w:cs="Arial"/>
          </w:rPr>
          <w:t>Form 1099</w:t>
        </w:r>
      </w:hyperlink>
      <w:r w:rsidRPr="00D605D1">
        <w:rPr>
          <w:rFonts w:ascii="Arial" w:eastAsia="Times New Roman" w:hAnsi="Arial" w:cs="Arial"/>
          <w:color w:val="000000"/>
        </w:rPr>
        <w:t xml:space="preserve"> or </w:t>
      </w:r>
      <w:hyperlink r:id="rId22" w:history="1">
        <w:r w:rsidRPr="00F82E91">
          <w:rPr>
            <w:rStyle w:val="Hyperlink"/>
            <w:rFonts w:ascii="Arial" w:eastAsia="Times New Roman" w:hAnsi="Arial" w:cs="Arial"/>
          </w:rPr>
          <w:t>Form W-2</w:t>
        </w:r>
      </w:hyperlink>
      <w:r w:rsidRPr="00D605D1">
        <w:rPr>
          <w:rFonts w:ascii="Arial" w:eastAsia="Times New Roman" w:hAnsi="Arial" w:cs="Arial"/>
          <w:color w:val="000000"/>
        </w:rPr>
        <w:t>).</w:t>
      </w:r>
    </w:p>
    <w:p w14:paraId="132497AF" w14:textId="77777777" w:rsidR="00D605D1" w:rsidRPr="00D605D1" w:rsidRDefault="00D605D1" w:rsidP="00D605D1">
      <w:pPr>
        <w:rPr>
          <w:rFonts w:ascii="Calibri" w:eastAsia="Calibri" w:hAnsi="Calibri" w:cs="Times New Roman"/>
          <w:sz w:val="22"/>
          <w:szCs w:val="22"/>
        </w:rPr>
      </w:pPr>
    </w:p>
    <w:p w14:paraId="4E40321C" w14:textId="56C7E744" w:rsidR="002644E7" w:rsidRPr="00632805" w:rsidRDefault="00332F90" w:rsidP="00D605D1">
      <w:pPr>
        <w:numPr>
          <w:ilvl w:val="1"/>
          <w:numId w:val="4"/>
        </w:numPr>
        <w:adjustRightInd w:val="0"/>
        <w:spacing w:after="120"/>
        <w:ind w:left="1440" w:hanging="720"/>
        <w:contextualSpacing/>
        <w:rPr>
          <w:rFonts w:ascii="Arial" w:hAnsi="Arial"/>
        </w:rPr>
      </w:pPr>
      <w:r>
        <w:rPr>
          <w:rFonts w:ascii="Arial" w:eastAsia="Calibri" w:hAnsi="Arial" w:cs="Arial"/>
        </w:rPr>
        <w:t>Role</w:t>
      </w:r>
      <w:r w:rsidRPr="00F82E91">
        <w:rPr>
          <w:rFonts w:ascii="Arial" w:eastAsia="Calibri" w:hAnsi="Arial" w:cs="Arial"/>
        </w:rPr>
        <w:t xml:space="preserve"> </w:t>
      </w:r>
      <w:r w:rsidR="00D605D1" w:rsidRPr="00F82E91">
        <w:rPr>
          <w:rFonts w:ascii="Arial" w:eastAsia="Calibri" w:hAnsi="Arial" w:cs="Arial"/>
        </w:rPr>
        <w:t xml:space="preserve">of </w:t>
      </w:r>
      <w:r w:rsidR="00433B0C" w:rsidRPr="00F82E91">
        <w:rPr>
          <w:rFonts w:ascii="Arial" w:eastAsia="Calibri" w:hAnsi="Arial" w:cs="Arial"/>
        </w:rPr>
        <w:t>the TSUS Office of General Counsel</w:t>
      </w:r>
      <w:r w:rsidR="006014FF" w:rsidRPr="00F82E91">
        <w:rPr>
          <w:rFonts w:ascii="Arial" w:eastAsia="Calibri" w:hAnsi="Arial" w:cs="Arial"/>
        </w:rPr>
        <w:t xml:space="preserve"> </w:t>
      </w:r>
      <w:r w:rsidR="00663DB3" w:rsidRPr="00F82E91">
        <w:rPr>
          <w:rFonts w:ascii="Arial" w:eastAsia="Calibri" w:hAnsi="Arial" w:cs="Arial"/>
        </w:rPr>
        <w:t xml:space="preserve">– </w:t>
      </w:r>
      <w:r w:rsidR="00663DB3">
        <w:rPr>
          <w:rFonts w:ascii="Arial" w:eastAsia="Calibri" w:hAnsi="Arial" w:cs="Arial"/>
        </w:rPr>
        <w:t xml:space="preserve">A </w:t>
      </w:r>
      <w:r w:rsidR="00D605D1" w:rsidRPr="00D605D1">
        <w:rPr>
          <w:rFonts w:ascii="Arial" w:eastAsia="Calibri" w:hAnsi="Arial" w:cs="Arial"/>
        </w:rPr>
        <w:t xml:space="preserve">judgment or settlement payment may consist of wage and non-wage elements. </w:t>
      </w:r>
      <w:r w:rsidR="00D605D1" w:rsidRPr="00D605D1">
        <w:rPr>
          <w:rFonts w:ascii="Arial" w:eastAsia="Times New Roman" w:hAnsi="Arial" w:cs="Arial"/>
        </w:rPr>
        <w:t xml:space="preserve">The </w:t>
      </w:r>
      <w:r w:rsidR="00433B0C">
        <w:rPr>
          <w:rFonts w:ascii="Arial" w:eastAsia="Times New Roman" w:hAnsi="Arial" w:cs="Arial"/>
        </w:rPr>
        <w:t xml:space="preserve">TSUS Office of General </w:t>
      </w:r>
      <w:r w:rsidR="00D01E19">
        <w:rPr>
          <w:rFonts w:ascii="Arial" w:eastAsia="Times New Roman" w:hAnsi="Arial" w:cs="Arial"/>
        </w:rPr>
        <w:t>Counsel</w:t>
      </w:r>
      <w:r w:rsidR="00D01E19" w:rsidRPr="00D605D1">
        <w:rPr>
          <w:rFonts w:ascii="Arial" w:eastAsia="Times New Roman" w:hAnsi="Arial" w:cs="Arial"/>
        </w:rPr>
        <w:t xml:space="preserve"> </w:t>
      </w:r>
      <w:r w:rsidR="00D01E19">
        <w:rPr>
          <w:rFonts w:ascii="Arial" w:eastAsia="Times New Roman" w:hAnsi="Arial" w:cs="Arial"/>
        </w:rPr>
        <w:t>will</w:t>
      </w:r>
      <w:r>
        <w:rPr>
          <w:rFonts w:ascii="Arial" w:eastAsia="Times New Roman" w:hAnsi="Arial" w:cs="Arial"/>
        </w:rPr>
        <w:t xml:space="preserve"> assist in determining </w:t>
      </w:r>
      <w:r w:rsidR="00D605D1" w:rsidRPr="00D605D1">
        <w:rPr>
          <w:rFonts w:ascii="Arial" w:eastAsia="Times New Roman" w:hAnsi="Arial" w:cs="Arial"/>
        </w:rPr>
        <w:t xml:space="preserve">the elements of the payment in the settlement agreement. </w:t>
      </w:r>
      <w:r>
        <w:rPr>
          <w:rFonts w:ascii="Arial" w:eastAsia="Times New Roman" w:hAnsi="Arial" w:cs="Arial"/>
        </w:rPr>
        <w:t>Every effort will be made to ensure t</w:t>
      </w:r>
      <w:r w:rsidR="00D605D1" w:rsidRPr="00D605D1">
        <w:rPr>
          <w:rFonts w:ascii="Arial" w:eastAsia="Times New Roman" w:hAnsi="Arial" w:cs="Arial"/>
        </w:rPr>
        <w:t xml:space="preserve">he settlement agreement </w:t>
      </w:r>
      <w:r w:rsidR="00D605D1" w:rsidRPr="00D605D1">
        <w:rPr>
          <w:rFonts w:ascii="Arial" w:eastAsia="Calibri" w:hAnsi="Arial" w:cs="Arial"/>
        </w:rPr>
        <w:t>address</w:t>
      </w:r>
      <w:r>
        <w:rPr>
          <w:rFonts w:ascii="Arial" w:eastAsia="Calibri" w:hAnsi="Arial" w:cs="Arial"/>
        </w:rPr>
        <w:t xml:space="preserve">es any </w:t>
      </w:r>
      <w:r w:rsidR="00D605D1" w:rsidRPr="00D605D1">
        <w:rPr>
          <w:rFonts w:ascii="Arial" w:eastAsia="Calibri" w:hAnsi="Arial" w:cs="Arial"/>
        </w:rPr>
        <w:t xml:space="preserve">tax issues. </w:t>
      </w:r>
    </w:p>
    <w:p w14:paraId="1ACDE8F9" w14:textId="77777777" w:rsidR="002644E7" w:rsidRPr="00632805" w:rsidRDefault="002644E7" w:rsidP="00070187">
      <w:pPr>
        <w:adjustRightInd w:val="0"/>
        <w:spacing w:after="120"/>
        <w:ind w:left="1440"/>
        <w:contextualSpacing/>
        <w:rPr>
          <w:rFonts w:ascii="Arial" w:hAnsi="Arial"/>
        </w:rPr>
      </w:pPr>
    </w:p>
    <w:p w14:paraId="7DDBDC6D" w14:textId="22B7BBC8" w:rsidR="00D605D1" w:rsidRPr="00D605D1" w:rsidRDefault="00D605D1" w:rsidP="00D605D1">
      <w:pPr>
        <w:numPr>
          <w:ilvl w:val="1"/>
          <w:numId w:val="4"/>
        </w:numPr>
        <w:adjustRightInd w:val="0"/>
        <w:spacing w:after="120"/>
        <w:ind w:left="1440" w:hanging="720"/>
        <w:contextualSpacing/>
        <w:rPr>
          <w:rFonts w:ascii="Arial" w:eastAsia="Times New Roman" w:hAnsi="Arial" w:cs="Arial"/>
        </w:rPr>
      </w:pPr>
      <w:r w:rsidRPr="00D605D1">
        <w:rPr>
          <w:rFonts w:ascii="Arial" w:eastAsia="Times New Roman" w:hAnsi="Arial" w:cs="Arial"/>
        </w:rPr>
        <w:t>The</w:t>
      </w:r>
      <w:r w:rsidR="00433B0C">
        <w:rPr>
          <w:rFonts w:ascii="Arial" w:eastAsia="Times New Roman" w:hAnsi="Arial" w:cs="Arial"/>
        </w:rPr>
        <w:t xml:space="preserve"> TSUS Office of General Counsel</w:t>
      </w:r>
      <w:r w:rsidRPr="00D605D1">
        <w:rPr>
          <w:rFonts w:ascii="Arial" w:eastAsia="Times New Roman" w:hAnsi="Arial" w:cs="Arial"/>
        </w:rPr>
        <w:t xml:space="preserve"> </w:t>
      </w:r>
      <w:r w:rsidR="00332F90">
        <w:rPr>
          <w:rFonts w:ascii="Arial" w:eastAsia="Times New Roman" w:hAnsi="Arial" w:cs="Arial"/>
        </w:rPr>
        <w:t>will notify</w:t>
      </w:r>
      <w:r w:rsidRPr="00D605D1">
        <w:rPr>
          <w:rFonts w:ascii="Arial" w:eastAsia="Times New Roman" w:hAnsi="Arial" w:cs="Arial"/>
        </w:rPr>
        <w:t xml:space="preserve"> the </w:t>
      </w:r>
      <w:r w:rsidR="002644E7">
        <w:rPr>
          <w:rFonts w:ascii="Arial" w:eastAsia="Times New Roman" w:hAnsi="Arial" w:cs="Arial"/>
        </w:rPr>
        <w:t xml:space="preserve">assistant vice president for Human Resources who will </w:t>
      </w:r>
      <w:r w:rsidR="00332F90">
        <w:rPr>
          <w:rFonts w:ascii="Arial" w:eastAsia="Times New Roman" w:hAnsi="Arial" w:cs="Arial"/>
        </w:rPr>
        <w:t xml:space="preserve">be responsible for and </w:t>
      </w:r>
      <w:r w:rsidR="002644E7">
        <w:rPr>
          <w:rFonts w:ascii="Arial" w:eastAsia="Times New Roman" w:hAnsi="Arial" w:cs="Arial"/>
        </w:rPr>
        <w:t xml:space="preserve">work with the </w:t>
      </w:r>
      <w:r w:rsidRPr="00D605D1">
        <w:rPr>
          <w:rFonts w:ascii="Arial" w:eastAsia="Times New Roman" w:hAnsi="Arial" w:cs="Arial"/>
        </w:rPr>
        <w:t xml:space="preserve">Office of Payroll and Tax Compliance before an employment-related settlement or judgment payment is paid to a claimant </w:t>
      </w:r>
      <w:proofErr w:type="gramStart"/>
      <w:r w:rsidRPr="00D605D1">
        <w:rPr>
          <w:rFonts w:ascii="Arial" w:eastAsia="Times New Roman" w:hAnsi="Arial" w:cs="Arial"/>
        </w:rPr>
        <w:t>in order to</w:t>
      </w:r>
      <w:proofErr w:type="gramEnd"/>
      <w:r w:rsidRPr="00D605D1">
        <w:rPr>
          <w:rFonts w:ascii="Arial" w:eastAsia="Times New Roman" w:hAnsi="Arial" w:cs="Arial"/>
        </w:rPr>
        <w:t xml:space="preserve"> determine whether or not the payment should be paid through the payroll process.</w:t>
      </w:r>
    </w:p>
    <w:p w14:paraId="76A44937" w14:textId="77777777" w:rsidR="00D605D1" w:rsidRPr="00D605D1" w:rsidRDefault="00D605D1" w:rsidP="00D605D1">
      <w:pPr>
        <w:adjustRightInd w:val="0"/>
        <w:spacing w:after="120"/>
        <w:ind w:left="1440"/>
        <w:contextualSpacing/>
        <w:rPr>
          <w:rFonts w:ascii="Arial" w:eastAsia="Times New Roman" w:hAnsi="Arial" w:cs="Arial"/>
        </w:rPr>
      </w:pPr>
    </w:p>
    <w:p w14:paraId="1799BA7E" w14:textId="1968CA93" w:rsidR="00D605D1" w:rsidRPr="00D605D1" w:rsidRDefault="00640226" w:rsidP="00D605D1">
      <w:pPr>
        <w:numPr>
          <w:ilvl w:val="1"/>
          <w:numId w:val="4"/>
        </w:numPr>
        <w:adjustRightInd w:val="0"/>
        <w:spacing w:after="120"/>
        <w:ind w:left="1440" w:hanging="720"/>
        <w:contextualSpacing/>
        <w:rPr>
          <w:rFonts w:ascii="Arial" w:eastAsia="Times New Roman" w:hAnsi="Arial" w:cs="Arial"/>
        </w:rPr>
      </w:pPr>
      <w:r>
        <w:rPr>
          <w:rFonts w:ascii="Arial" w:eastAsia="Times New Roman" w:hAnsi="Arial" w:cs="Arial"/>
        </w:rPr>
        <w:t xml:space="preserve">The </w:t>
      </w:r>
      <w:r w:rsidR="00D605D1" w:rsidRPr="00F82E91">
        <w:rPr>
          <w:rFonts w:ascii="Arial" w:eastAsia="Times New Roman" w:hAnsi="Arial" w:cs="Arial"/>
        </w:rPr>
        <w:t>Office of Payroll and Tax Compliance</w:t>
      </w:r>
      <w:r w:rsidR="006014FF" w:rsidRPr="00663DB3">
        <w:rPr>
          <w:rFonts w:ascii="Arial" w:eastAsia="Times New Roman" w:hAnsi="Arial" w:cs="Arial"/>
        </w:rPr>
        <w:t xml:space="preserve"> </w:t>
      </w:r>
      <w:r>
        <w:rPr>
          <w:rFonts w:ascii="Arial" w:eastAsia="Times New Roman" w:hAnsi="Arial" w:cs="Arial"/>
        </w:rPr>
        <w:t>is</w:t>
      </w:r>
      <w:r w:rsidR="00663DB3" w:rsidRPr="00663DB3">
        <w:rPr>
          <w:rFonts w:ascii="Arial" w:eastAsia="Times New Roman" w:hAnsi="Arial" w:cs="Arial"/>
        </w:rPr>
        <w:t xml:space="preserve"> </w:t>
      </w:r>
      <w:r w:rsidR="00D605D1" w:rsidRPr="00D605D1">
        <w:rPr>
          <w:rFonts w:ascii="Arial" w:eastAsia="Times New Roman" w:hAnsi="Arial" w:cs="Arial"/>
        </w:rPr>
        <w:t xml:space="preserve">responsible for properly paying employment-related settlement or judgment payments that are defined as wages by the IRS to the claimant through the payroll process, deducting and paying appropriate taxes, issuing tax reports according to </w:t>
      </w:r>
      <w:r w:rsidR="00D605D1" w:rsidRPr="00D605D1">
        <w:rPr>
          <w:rFonts w:ascii="Arial" w:eastAsia="Times New Roman" w:hAnsi="Arial" w:cs="Arial"/>
        </w:rPr>
        <w:lastRenderedPageBreak/>
        <w:t xml:space="preserve">federal regulations to the claimant using a </w:t>
      </w:r>
      <w:hyperlink r:id="rId23" w:history="1">
        <w:r w:rsidR="00D605D1" w:rsidRPr="00F82E91">
          <w:rPr>
            <w:rStyle w:val="Hyperlink"/>
            <w:rFonts w:ascii="Arial" w:eastAsia="Times New Roman" w:hAnsi="Arial" w:cs="Arial"/>
          </w:rPr>
          <w:t>W-2</w:t>
        </w:r>
      </w:hyperlink>
      <w:r w:rsidR="00D605D1" w:rsidRPr="00D605D1">
        <w:rPr>
          <w:rFonts w:ascii="Arial" w:eastAsia="Times New Roman" w:hAnsi="Arial" w:cs="Arial"/>
        </w:rPr>
        <w:t xml:space="preserve">, and to the attorney using a </w:t>
      </w:r>
      <w:hyperlink r:id="rId24" w:history="1">
        <w:r w:rsidR="00D605D1" w:rsidRPr="00F82E91">
          <w:rPr>
            <w:rStyle w:val="Hyperlink"/>
            <w:rFonts w:ascii="Arial" w:eastAsia="Times New Roman" w:hAnsi="Arial" w:cs="Arial"/>
          </w:rPr>
          <w:t>1099-MISC</w:t>
        </w:r>
      </w:hyperlink>
      <w:r w:rsidR="006014FF">
        <w:rPr>
          <w:rFonts w:ascii="Arial" w:eastAsia="Times New Roman" w:hAnsi="Arial" w:cs="Arial"/>
        </w:rPr>
        <w:t>,</w:t>
      </w:r>
      <w:r w:rsidR="00D605D1" w:rsidRPr="00D605D1">
        <w:rPr>
          <w:rFonts w:ascii="Arial" w:eastAsia="Times New Roman" w:hAnsi="Arial" w:cs="Arial"/>
        </w:rPr>
        <w:t xml:space="preserve"> if applicable.</w:t>
      </w:r>
    </w:p>
    <w:p w14:paraId="7F9442D2" w14:textId="77777777" w:rsidR="00D605D1" w:rsidRPr="00D605D1" w:rsidRDefault="00D605D1" w:rsidP="00D605D1">
      <w:pPr>
        <w:ind w:left="720"/>
        <w:contextualSpacing/>
        <w:rPr>
          <w:rFonts w:ascii="Arial" w:eastAsia="Times New Roman" w:hAnsi="Arial" w:cs="Arial"/>
        </w:rPr>
      </w:pPr>
    </w:p>
    <w:p w14:paraId="75D46454" w14:textId="5601BCEA" w:rsidR="00D605D1" w:rsidRPr="00D605D1" w:rsidRDefault="00D605D1" w:rsidP="00D605D1">
      <w:pPr>
        <w:numPr>
          <w:ilvl w:val="1"/>
          <w:numId w:val="4"/>
        </w:numPr>
        <w:adjustRightInd w:val="0"/>
        <w:spacing w:after="120"/>
        <w:ind w:left="1440" w:hanging="720"/>
        <w:contextualSpacing/>
        <w:rPr>
          <w:rFonts w:ascii="Arial" w:eastAsia="Times New Roman" w:hAnsi="Arial" w:cs="Arial"/>
        </w:rPr>
      </w:pPr>
      <w:r w:rsidRPr="00F82E91">
        <w:rPr>
          <w:rFonts w:ascii="Arial" w:eastAsia="Times New Roman" w:hAnsi="Arial" w:cs="Arial"/>
        </w:rPr>
        <w:t>Accounts Payable</w:t>
      </w:r>
      <w:r w:rsidR="006014FF" w:rsidRPr="00663DB3">
        <w:rPr>
          <w:rFonts w:ascii="Arial" w:eastAsia="Times New Roman" w:hAnsi="Arial" w:cs="Arial"/>
        </w:rPr>
        <w:t xml:space="preserve"> </w:t>
      </w:r>
      <w:r w:rsidR="00663DB3">
        <w:rPr>
          <w:rFonts w:ascii="Arial" w:eastAsia="Times New Roman" w:hAnsi="Arial" w:cs="Arial"/>
        </w:rPr>
        <w:t xml:space="preserve">– </w:t>
      </w:r>
      <w:r w:rsidRPr="00D605D1">
        <w:rPr>
          <w:rFonts w:ascii="Arial" w:eastAsia="Times New Roman" w:hAnsi="Arial" w:cs="Arial"/>
        </w:rPr>
        <w:t>may disburse payments not defined as wages by the IRS. The Office of Payroll and Tax Compliance is responsible for reporting settlement or judgment</w:t>
      </w:r>
      <w:r w:rsidR="00452531">
        <w:rPr>
          <w:rFonts w:ascii="Arial" w:eastAsia="Times New Roman" w:hAnsi="Arial" w:cs="Arial"/>
        </w:rPr>
        <w:t xml:space="preserve"> </w:t>
      </w:r>
      <w:r w:rsidRPr="00D605D1">
        <w:rPr>
          <w:rFonts w:ascii="Arial" w:eastAsia="Times New Roman" w:hAnsi="Arial" w:cs="Arial"/>
        </w:rPr>
        <w:t xml:space="preserve">payments on a </w:t>
      </w:r>
      <w:hyperlink r:id="rId25" w:history="1">
        <w:r w:rsidRPr="00F82E91">
          <w:rPr>
            <w:rStyle w:val="Hyperlink"/>
            <w:rFonts w:ascii="Arial" w:eastAsia="Times New Roman" w:hAnsi="Arial" w:cs="Arial"/>
          </w:rPr>
          <w:t>1099-MISC</w:t>
        </w:r>
      </w:hyperlink>
      <w:r w:rsidRPr="00D605D1">
        <w:rPr>
          <w:rFonts w:ascii="Arial" w:eastAsia="Times New Roman" w:hAnsi="Arial" w:cs="Arial"/>
        </w:rPr>
        <w:t xml:space="preserve"> statement to the claimant and the attorney</w:t>
      </w:r>
      <w:r w:rsidR="00032A85">
        <w:rPr>
          <w:rFonts w:ascii="Arial" w:eastAsia="Times New Roman" w:hAnsi="Arial" w:cs="Arial"/>
        </w:rPr>
        <w:t>,</w:t>
      </w:r>
      <w:r w:rsidRPr="00D605D1">
        <w:rPr>
          <w:rFonts w:ascii="Arial" w:eastAsia="Times New Roman" w:hAnsi="Arial" w:cs="Arial"/>
        </w:rPr>
        <w:t xml:space="preserve"> if applicable.</w:t>
      </w:r>
    </w:p>
    <w:p w14:paraId="7019D609" w14:textId="77777777" w:rsidR="00D605D1" w:rsidRPr="00D605D1" w:rsidRDefault="00D605D1" w:rsidP="00D605D1">
      <w:pPr>
        <w:autoSpaceDE w:val="0"/>
        <w:autoSpaceDN w:val="0"/>
        <w:adjustRightInd w:val="0"/>
        <w:spacing w:line="276" w:lineRule="atLeast"/>
        <w:rPr>
          <w:rFonts w:ascii="Arial" w:eastAsia="Calibri" w:hAnsi="Arial" w:cs="Arial"/>
          <w:color w:val="000000"/>
        </w:rPr>
      </w:pPr>
    </w:p>
    <w:p w14:paraId="2A350A49" w14:textId="77777777" w:rsidR="00D605D1" w:rsidRPr="005C4A19" w:rsidRDefault="00663DB3" w:rsidP="00D605D1">
      <w:pPr>
        <w:rPr>
          <w:rFonts w:ascii="Arial" w:eastAsia="Times New Roman" w:hAnsi="Arial" w:cs="Arial"/>
          <w:b/>
        </w:rPr>
      </w:pPr>
      <w:r>
        <w:rPr>
          <w:rFonts w:ascii="Arial" w:eastAsia="Times New Roman" w:hAnsi="Arial" w:cs="Arial"/>
          <w:b/>
        </w:rPr>
        <w:t>0</w:t>
      </w:r>
      <w:r w:rsidR="00D605D1" w:rsidRPr="005C4A19">
        <w:rPr>
          <w:rFonts w:ascii="Arial" w:eastAsia="Times New Roman" w:hAnsi="Arial" w:cs="Arial"/>
          <w:b/>
        </w:rPr>
        <w:t>7.</w:t>
      </w:r>
      <w:r w:rsidR="00D605D1" w:rsidRPr="005C4A19">
        <w:rPr>
          <w:rFonts w:ascii="Arial" w:eastAsia="Times New Roman" w:hAnsi="Arial" w:cs="Arial"/>
          <w:b/>
        </w:rPr>
        <w:tab/>
        <w:t>REVIEWERS OF THIS UPPS</w:t>
      </w:r>
    </w:p>
    <w:p w14:paraId="4FD86577" w14:textId="77777777" w:rsidR="00D605D1" w:rsidRPr="00D605D1" w:rsidRDefault="00D605D1" w:rsidP="00D605D1">
      <w:pPr>
        <w:rPr>
          <w:rFonts w:ascii="Arial" w:eastAsia="Times New Roman" w:hAnsi="Arial" w:cs="Arial"/>
        </w:rPr>
      </w:pPr>
    </w:p>
    <w:p w14:paraId="33CB6669" w14:textId="7CFCFC07" w:rsidR="00C77ABC" w:rsidRDefault="00D605D1" w:rsidP="003C54E3">
      <w:pPr>
        <w:ind w:left="1440" w:hanging="720"/>
        <w:rPr>
          <w:rFonts w:ascii="Arial" w:eastAsia="Times New Roman" w:hAnsi="Arial" w:cs="Arial"/>
        </w:rPr>
      </w:pPr>
      <w:r w:rsidRPr="00D605D1">
        <w:rPr>
          <w:rFonts w:ascii="Arial" w:eastAsia="Times New Roman" w:hAnsi="Arial" w:cs="Arial"/>
        </w:rPr>
        <w:t>07.01</w:t>
      </w:r>
      <w:r w:rsidRPr="00D605D1">
        <w:rPr>
          <w:rFonts w:ascii="Arial" w:eastAsia="Times New Roman" w:hAnsi="Arial" w:cs="Arial"/>
        </w:rPr>
        <w:tab/>
        <w:t>Reviewers of this UPPS include the following:</w:t>
      </w:r>
    </w:p>
    <w:p w14:paraId="2251E51C" w14:textId="77777777" w:rsidR="00C77ABC" w:rsidRDefault="00C77ABC" w:rsidP="003C54E3">
      <w:pPr>
        <w:ind w:left="1440" w:hanging="720"/>
        <w:rPr>
          <w:rFonts w:ascii="Arial" w:eastAsia="Times New Roman" w:hAnsi="Arial" w:cs="Arial"/>
          <w:u w:val="single"/>
        </w:rPr>
      </w:pPr>
    </w:p>
    <w:p w14:paraId="52177F2B" w14:textId="50153E75" w:rsidR="00D605D1" w:rsidRPr="00D605D1" w:rsidRDefault="00D605D1" w:rsidP="00F21FC9">
      <w:pPr>
        <w:ind w:left="1440"/>
        <w:rPr>
          <w:rFonts w:ascii="Arial" w:eastAsia="Times New Roman" w:hAnsi="Arial" w:cs="Arial"/>
        </w:rPr>
      </w:pPr>
      <w:r w:rsidRPr="00D605D1">
        <w:rPr>
          <w:rFonts w:ascii="Arial" w:eastAsia="Times New Roman" w:hAnsi="Arial" w:cs="Arial"/>
          <w:u w:val="single"/>
        </w:rPr>
        <w:t>Position</w:t>
      </w:r>
      <w:r w:rsidRPr="00D605D1">
        <w:rPr>
          <w:rFonts w:ascii="Arial" w:eastAsia="Times New Roman" w:hAnsi="Arial" w:cs="Arial"/>
        </w:rPr>
        <w:tab/>
      </w:r>
      <w:r w:rsidR="00C77ABC">
        <w:rPr>
          <w:rFonts w:ascii="Arial" w:eastAsia="Times New Roman" w:hAnsi="Arial" w:cs="Arial"/>
        </w:rPr>
        <w:tab/>
      </w:r>
      <w:r w:rsidR="00C77ABC">
        <w:rPr>
          <w:rFonts w:ascii="Arial" w:eastAsia="Times New Roman" w:hAnsi="Arial" w:cs="Arial"/>
        </w:rPr>
        <w:tab/>
      </w:r>
      <w:r w:rsidR="00C77ABC">
        <w:rPr>
          <w:rFonts w:ascii="Arial" w:eastAsia="Times New Roman" w:hAnsi="Arial" w:cs="Arial"/>
        </w:rPr>
        <w:tab/>
      </w:r>
      <w:r w:rsidR="00C77ABC">
        <w:rPr>
          <w:rFonts w:ascii="Arial" w:eastAsia="Times New Roman" w:hAnsi="Arial" w:cs="Arial"/>
        </w:rPr>
        <w:tab/>
      </w:r>
      <w:r w:rsidRPr="00D605D1">
        <w:rPr>
          <w:rFonts w:ascii="Arial" w:eastAsia="Times New Roman" w:hAnsi="Arial" w:cs="Arial"/>
          <w:u w:val="single"/>
        </w:rPr>
        <w:t>Date</w:t>
      </w:r>
    </w:p>
    <w:p w14:paraId="6A7666BE" w14:textId="77777777" w:rsidR="00D605D1" w:rsidRPr="00D605D1" w:rsidRDefault="00D605D1" w:rsidP="00D605D1">
      <w:pPr>
        <w:tabs>
          <w:tab w:val="left" w:pos="5760"/>
        </w:tabs>
        <w:ind w:left="1440"/>
        <w:rPr>
          <w:rFonts w:ascii="Arial" w:eastAsia="Times New Roman" w:hAnsi="Arial" w:cs="Arial"/>
        </w:rPr>
      </w:pPr>
    </w:p>
    <w:p w14:paraId="5B5063DC" w14:textId="587D0AD4" w:rsidR="00D605D1" w:rsidRPr="00D605D1" w:rsidRDefault="00C77ABC" w:rsidP="00F21FC9">
      <w:pPr>
        <w:tabs>
          <w:tab w:val="left" w:pos="1440"/>
          <w:tab w:val="left" w:pos="1530"/>
        </w:tabs>
        <w:rPr>
          <w:rFonts w:ascii="Arial" w:eastAsia="Times New Roman" w:hAnsi="Arial" w:cs="Arial"/>
        </w:rPr>
      </w:pPr>
      <w:r>
        <w:rPr>
          <w:rFonts w:ascii="Arial" w:eastAsia="Times New Roman" w:hAnsi="Arial" w:cs="Arial"/>
        </w:rPr>
        <w:t xml:space="preserve">           </w:t>
      </w:r>
      <w:r w:rsidR="00F21FC9">
        <w:rPr>
          <w:rFonts w:ascii="Arial" w:eastAsia="Times New Roman" w:hAnsi="Arial" w:cs="Arial"/>
        </w:rPr>
        <w:tab/>
      </w:r>
      <w:r w:rsidR="00D605D1" w:rsidRPr="00D605D1">
        <w:rPr>
          <w:rFonts w:ascii="Arial" w:eastAsia="Times New Roman" w:hAnsi="Arial" w:cs="Arial"/>
        </w:rPr>
        <w:t>Vice President for Finance and</w:t>
      </w:r>
      <w:r w:rsidR="00D605D1" w:rsidRPr="00D605D1">
        <w:rPr>
          <w:rFonts w:ascii="Arial" w:eastAsia="Times New Roman" w:hAnsi="Arial" w:cs="Arial"/>
        </w:rPr>
        <w:tab/>
      </w:r>
      <w:r w:rsidR="005F6E6F">
        <w:rPr>
          <w:rFonts w:ascii="Arial" w:eastAsia="Times New Roman" w:hAnsi="Arial" w:cs="Arial"/>
        </w:rPr>
        <w:tab/>
      </w:r>
      <w:r w:rsidR="00D605D1" w:rsidRPr="00D605D1">
        <w:rPr>
          <w:rFonts w:ascii="Arial" w:eastAsia="Times New Roman" w:hAnsi="Arial" w:cs="Arial"/>
        </w:rPr>
        <w:t>August 1 E4Y</w:t>
      </w:r>
    </w:p>
    <w:p w14:paraId="3613CAC9" w14:textId="7D407A96" w:rsidR="00D605D1" w:rsidRPr="00D605D1" w:rsidRDefault="00D605D1" w:rsidP="00F21FC9">
      <w:pPr>
        <w:tabs>
          <w:tab w:val="left" w:pos="5760"/>
        </w:tabs>
        <w:ind w:left="720" w:firstLine="720"/>
        <w:rPr>
          <w:rFonts w:ascii="Arial" w:eastAsia="Times New Roman" w:hAnsi="Arial" w:cs="Arial"/>
        </w:rPr>
      </w:pPr>
      <w:r w:rsidRPr="00D605D1">
        <w:rPr>
          <w:rFonts w:ascii="Arial" w:eastAsia="Times New Roman" w:hAnsi="Arial" w:cs="Arial"/>
        </w:rPr>
        <w:t>Support Services</w:t>
      </w:r>
    </w:p>
    <w:p w14:paraId="30574F05" w14:textId="77777777" w:rsidR="00D605D1" w:rsidRPr="00D605D1" w:rsidRDefault="00D605D1" w:rsidP="00D605D1">
      <w:pPr>
        <w:tabs>
          <w:tab w:val="left" w:pos="5760"/>
        </w:tabs>
        <w:ind w:left="1440"/>
        <w:rPr>
          <w:rFonts w:ascii="Arial" w:eastAsia="Times New Roman" w:hAnsi="Arial" w:cs="Arial"/>
        </w:rPr>
      </w:pPr>
    </w:p>
    <w:p w14:paraId="207F5008" w14:textId="373CAA0E" w:rsidR="00D605D1" w:rsidRDefault="00C77ABC" w:rsidP="00F21FC9">
      <w:pPr>
        <w:tabs>
          <w:tab w:val="left" w:pos="1440"/>
        </w:tabs>
        <w:rPr>
          <w:rFonts w:ascii="Arial" w:eastAsia="Times New Roman" w:hAnsi="Arial" w:cs="Arial"/>
        </w:rPr>
      </w:pPr>
      <w:r>
        <w:rPr>
          <w:rFonts w:ascii="Arial" w:eastAsia="Times New Roman" w:hAnsi="Arial" w:cs="Arial"/>
        </w:rPr>
        <w:t xml:space="preserve">          </w:t>
      </w:r>
      <w:r w:rsidR="00F21FC9">
        <w:rPr>
          <w:rFonts w:ascii="Arial" w:eastAsia="Times New Roman" w:hAnsi="Arial" w:cs="Arial"/>
        </w:rPr>
        <w:tab/>
      </w:r>
      <w:r w:rsidR="00D605D1" w:rsidRPr="00D605D1">
        <w:rPr>
          <w:rFonts w:ascii="Arial" w:eastAsia="Times New Roman" w:hAnsi="Arial" w:cs="Arial"/>
        </w:rPr>
        <w:t>Director, Payroll and Tax Compliance</w:t>
      </w:r>
      <w:r w:rsidR="00D605D1" w:rsidRPr="00D605D1">
        <w:rPr>
          <w:rFonts w:ascii="Arial" w:eastAsia="Times New Roman" w:hAnsi="Arial" w:cs="Arial"/>
        </w:rPr>
        <w:tab/>
        <w:t>August 1 E4Y</w:t>
      </w:r>
    </w:p>
    <w:p w14:paraId="4F2DF4E2" w14:textId="77777777" w:rsidR="00D605D1" w:rsidRPr="00D605D1" w:rsidRDefault="00D605D1" w:rsidP="00D605D1">
      <w:pPr>
        <w:rPr>
          <w:rFonts w:ascii="Arial" w:eastAsia="Times New Roman" w:hAnsi="Arial" w:cs="Arial"/>
        </w:rPr>
      </w:pPr>
    </w:p>
    <w:p w14:paraId="311861DC" w14:textId="77777777" w:rsidR="00D605D1" w:rsidRPr="005C4A19" w:rsidRDefault="00D605D1" w:rsidP="00D605D1">
      <w:pPr>
        <w:rPr>
          <w:rFonts w:ascii="Arial" w:eastAsia="Times New Roman" w:hAnsi="Arial" w:cs="Arial"/>
          <w:b/>
        </w:rPr>
      </w:pPr>
      <w:r w:rsidRPr="005C4A19">
        <w:rPr>
          <w:rFonts w:ascii="Arial" w:eastAsia="Times New Roman" w:hAnsi="Arial" w:cs="Arial"/>
          <w:b/>
        </w:rPr>
        <w:t>08.</w:t>
      </w:r>
      <w:r w:rsidRPr="005C4A19">
        <w:rPr>
          <w:rFonts w:ascii="Arial" w:eastAsia="Times New Roman" w:hAnsi="Arial" w:cs="Arial"/>
          <w:b/>
        </w:rPr>
        <w:tab/>
        <w:t>CERTIFICATION STATEMENT</w:t>
      </w:r>
    </w:p>
    <w:p w14:paraId="0F6F1402" w14:textId="77777777" w:rsidR="00D605D1" w:rsidRPr="00D605D1" w:rsidRDefault="00D605D1" w:rsidP="00D605D1">
      <w:pPr>
        <w:rPr>
          <w:rFonts w:ascii="Arial" w:eastAsia="Times New Roman" w:hAnsi="Arial" w:cs="Arial"/>
        </w:rPr>
      </w:pPr>
    </w:p>
    <w:p w14:paraId="335F5776" w14:textId="77777777" w:rsidR="00D605D1" w:rsidRPr="00D605D1" w:rsidRDefault="00D605D1" w:rsidP="00D605D1">
      <w:pPr>
        <w:ind w:left="720"/>
        <w:rPr>
          <w:rFonts w:ascii="Arial" w:eastAsia="Times New Roman" w:hAnsi="Arial" w:cs="Arial"/>
        </w:rPr>
      </w:pPr>
      <w:r w:rsidRPr="00D605D1">
        <w:rPr>
          <w:rFonts w:ascii="Arial" w:eastAsia="Times New Roman" w:hAnsi="Arial" w:cs="Arial"/>
        </w:rPr>
        <w:t>This UPPS has been approved by the following individuals in their official capacities and represents Texas State policy and procedure from the date of this document until superseded.</w:t>
      </w:r>
    </w:p>
    <w:p w14:paraId="6BAB0F53" w14:textId="77777777" w:rsidR="00D605D1" w:rsidRPr="00D605D1" w:rsidRDefault="00D605D1" w:rsidP="00D605D1">
      <w:pPr>
        <w:ind w:left="720"/>
        <w:rPr>
          <w:rFonts w:ascii="Arial" w:eastAsia="Times New Roman" w:hAnsi="Arial" w:cs="Arial"/>
        </w:rPr>
      </w:pPr>
    </w:p>
    <w:p w14:paraId="1C77CB9B" w14:textId="77777777" w:rsidR="00D605D1" w:rsidRPr="00D605D1" w:rsidRDefault="00D605D1" w:rsidP="00D605D1">
      <w:pPr>
        <w:ind w:left="720"/>
        <w:rPr>
          <w:rFonts w:ascii="Arial" w:eastAsia="Times New Roman" w:hAnsi="Arial" w:cs="Arial"/>
        </w:rPr>
      </w:pPr>
      <w:r>
        <w:rPr>
          <w:rFonts w:ascii="Arial" w:eastAsia="Times New Roman" w:hAnsi="Arial" w:cs="Arial"/>
        </w:rPr>
        <w:t>Vice President for Finance and Support Services</w:t>
      </w:r>
      <w:r w:rsidRPr="00D605D1">
        <w:rPr>
          <w:rFonts w:ascii="Arial" w:eastAsia="Times New Roman" w:hAnsi="Arial" w:cs="Arial"/>
        </w:rPr>
        <w:t>; senior reviewer of this UPPS</w:t>
      </w:r>
    </w:p>
    <w:p w14:paraId="3ACAB4E1" w14:textId="77777777" w:rsidR="00D605D1" w:rsidRPr="00D605D1" w:rsidRDefault="00D605D1" w:rsidP="00D605D1">
      <w:pPr>
        <w:ind w:left="720"/>
        <w:rPr>
          <w:rFonts w:ascii="Arial" w:eastAsia="Times New Roman" w:hAnsi="Arial" w:cs="Arial"/>
        </w:rPr>
      </w:pPr>
    </w:p>
    <w:p w14:paraId="7D3247E1" w14:textId="4FA3C302" w:rsidR="005C4A19" w:rsidRPr="005F6E6F" w:rsidRDefault="00D605D1" w:rsidP="005F6E6F">
      <w:pPr>
        <w:ind w:left="720"/>
        <w:rPr>
          <w:rFonts w:ascii="Arial" w:eastAsia="Times New Roman" w:hAnsi="Arial" w:cs="Arial"/>
        </w:rPr>
      </w:pPr>
      <w:r w:rsidRPr="00D605D1">
        <w:rPr>
          <w:rFonts w:ascii="Arial" w:eastAsia="Times New Roman" w:hAnsi="Arial" w:cs="Arial"/>
        </w:rPr>
        <w:t>President</w:t>
      </w:r>
    </w:p>
    <w:sectPr w:rsidR="005C4A19" w:rsidRPr="005F6E6F" w:rsidSect="00832E4D">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545B" w14:textId="77777777" w:rsidR="008A0796" w:rsidRDefault="008A0796" w:rsidP="00832E4D">
      <w:r>
        <w:separator/>
      </w:r>
    </w:p>
  </w:endnote>
  <w:endnote w:type="continuationSeparator" w:id="0">
    <w:p w14:paraId="198BDD84" w14:textId="77777777" w:rsidR="008A0796" w:rsidRDefault="008A0796" w:rsidP="00832E4D">
      <w:r>
        <w:continuationSeparator/>
      </w:r>
    </w:p>
  </w:endnote>
  <w:endnote w:type="continuationNotice" w:id="1">
    <w:p w14:paraId="000DD4A2" w14:textId="77777777" w:rsidR="008A0796" w:rsidRDefault="008A0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5273" w14:textId="77777777" w:rsidR="008A0796" w:rsidRDefault="008A0796" w:rsidP="00832E4D">
      <w:r>
        <w:separator/>
      </w:r>
    </w:p>
  </w:footnote>
  <w:footnote w:type="continuationSeparator" w:id="0">
    <w:p w14:paraId="0D1C2098" w14:textId="77777777" w:rsidR="008A0796" w:rsidRDefault="008A0796" w:rsidP="00832E4D">
      <w:r>
        <w:continuationSeparator/>
      </w:r>
    </w:p>
  </w:footnote>
  <w:footnote w:type="continuationNotice" w:id="1">
    <w:p w14:paraId="2BD019D6" w14:textId="77777777" w:rsidR="008A0796" w:rsidRDefault="008A07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C25FC"/>
    <w:multiLevelType w:val="hybridMultilevel"/>
    <w:tmpl w:val="7C880560"/>
    <w:lvl w:ilvl="0" w:tplc="0C22C8EC">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496775"/>
    <w:multiLevelType w:val="multilevel"/>
    <w:tmpl w:val="5F22F47A"/>
    <w:lvl w:ilvl="0">
      <w:start w:val="6"/>
      <w:numFmt w:val="decimalZero"/>
      <w:lvlText w:val="%1"/>
      <w:lvlJc w:val="left"/>
      <w:pPr>
        <w:ind w:left="600" w:hanging="600"/>
      </w:pPr>
    </w:lvl>
    <w:lvl w:ilvl="1">
      <w:start w:val="2"/>
      <w:numFmt w:val="decimalZero"/>
      <w:lvlText w:val="%1.%2"/>
      <w:lvlJc w:val="left"/>
      <w:pPr>
        <w:ind w:left="2850" w:hanging="600"/>
      </w:pPr>
    </w:lvl>
    <w:lvl w:ilvl="2">
      <w:start w:val="1"/>
      <w:numFmt w:val="decimal"/>
      <w:lvlText w:val="%1.%2.%3"/>
      <w:lvlJc w:val="left"/>
      <w:pPr>
        <w:ind w:left="5220" w:hanging="720"/>
      </w:pPr>
    </w:lvl>
    <w:lvl w:ilvl="3">
      <w:start w:val="1"/>
      <w:numFmt w:val="decimal"/>
      <w:lvlText w:val="%1.%2.%3.%4"/>
      <w:lvlJc w:val="left"/>
      <w:pPr>
        <w:ind w:left="7830" w:hanging="1080"/>
      </w:pPr>
    </w:lvl>
    <w:lvl w:ilvl="4">
      <w:start w:val="1"/>
      <w:numFmt w:val="decimal"/>
      <w:lvlText w:val="%1.%2.%3.%4.%5"/>
      <w:lvlJc w:val="left"/>
      <w:pPr>
        <w:ind w:left="10080" w:hanging="1080"/>
      </w:pPr>
    </w:lvl>
    <w:lvl w:ilvl="5">
      <w:start w:val="1"/>
      <w:numFmt w:val="decimal"/>
      <w:lvlText w:val="%1.%2.%3.%4.%5.%6"/>
      <w:lvlJc w:val="left"/>
      <w:pPr>
        <w:ind w:left="12690" w:hanging="1440"/>
      </w:pPr>
    </w:lvl>
    <w:lvl w:ilvl="6">
      <w:start w:val="1"/>
      <w:numFmt w:val="decimal"/>
      <w:lvlText w:val="%1.%2.%3.%4.%5.%6.%7"/>
      <w:lvlJc w:val="left"/>
      <w:pPr>
        <w:ind w:left="14940" w:hanging="1440"/>
      </w:pPr>
    </w:lvl>
    <w:lvl w:ilvl="7">
      <w:start w:val="1"/>
      <w:numFmt w:val="decimal"/>
      <w:lvlText w:val="%1.%2.%3.%4.%5.%6.%7.%8"/>
      <w:lvlJc w:val="left"/>
      <w:pPr>
        <w:ind w:left="17550" w:hanging="1800"/>
      </w:pPr>
    </w:lvl>
    <w:lvl w:ilvl="8">
      <w:start w:val="1"/>
      <w:numFmt w:val="decimal"/>
      <w:lvlText w:val="%1.%2.%3.%4.%5.%6.%7.%8.%9"/>
      <w:lvlJc w:val="left"/>
      <w:pPr>
        <w:ind w:left="19800" w:hanging="1800"/>
      </w:pPr>
    </w:lvl>
  </w:abstractNum>
  <w:abstractNum w:abstractNumId="2" w15:restartNumberingAfterBreak="0">
    <w:nsid w:val="3BA60ADF"/>
    <w:multiLevelType w:val="multilevel"/>
    <w:tmpl w:val="C92892DE"/>
    <w:lvl w:ilvl="0">
      <w:start w:val="5"/>
      <w:numFmt w:val="decimalZero"/>
      <w:lvlText w:val="%1"/>
      <w:lvlJc w:val="left"/>
      <w:pPr>
        <w:ind w:left="600" w:hanging="600"/>
      </w:pPr>
      <w:rPr>
        <w:rFonts w:hint="default"/>
        <w:u w:val="single"/>
      </w:rPr>
    </w:lvl>
    <w:lvl w:ilvl="1">
      <w:start w:val="3"/>
      <w:numFmt w:val="decimalZero"/>
      <w:lvlText w:val="%1.%2"/>
      <w:lvlJc w:val="left"/>
      <w:pPr>
        <w:ind w:left="1320" w:hanging="600"/>
      </w:pPr>
      <w:rPr>
        <w:rFonts w:hint="default"/>
        <w:strike w:val="0"/>
        <w:dstrike w:val="0"/>
        <w:u w:val="none"/>
        <w:effect w:val="none"/>
      </w:rPr>
    </w:lvl>
    <w:lvl w:ilvl="2">
      <w:start w:val="1"/>
      <w:numFmt w:val="decimal"/>
      <w:lvlText w:val="%1.%2.%3"/>
      <w:lvlJc w:val="left"/>
      <w:pPr>
        <w:ind w:left="2160" w:hanging="720"/>
      </w:pPr>
      <w:rPr>
        <w:rFonts w:hint="default"/>
        <w:strike w:val="0"/>
        <w:dstrike w:val="0"/>
        <w:u w:val="none"/>
        <w:effect w:val="non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560" w:hanging="1800"/>
      </w:pPr>
      <w:rPr>
        <w:rFonts w:hint="default"/>
        <w:u w:val="single"/>
      </w:rPr>
    </w:lvl>
  </w:abstractNum>
  <w:abstractNum w:abstractNumId="3" w15:restartNumberingAfterBreak="0">
    <w:nsid w:val="5CC3785C"/>
    <w:multiLevelType w:val="multilevel"/>
    <w:tmpl w:val="5818E25E"/>
    <w:lvl w:ilvl="0">
      <w:start w:val="1"/>
      <w:numFmt w:val="lowerLetter"/>
      <w:lvlText w:val="%1."/>
      <w:lvlJc w:val="left"/>
      <w:pPr>
        <w:ind w:left="1920" w:hanging="480"/>
      </w:pPr>
    </w:lvl>
    <w:lvl w:ilvl="1">
      <w:start w:val="1"/>
      <w:numFmt w:val="decimalZero"/>
      <w:lvlText w:val="%1.%2"/>
      <w:lvlJc w:val="left"/>
      <w:pPr>
        <w:ind w:left="2730" w:hanging="480"/>
      </w:pPr>
      <w:rPr>
        <w:rFonts w:ascii="Arial" w:hAnsi="Arial" w:cs="Arial" w:hint="default"/>
        <w:b w:val="0"/>
        <w:sz w:val="24"/>
        <w:szCs w:val="24"/>
      </w:rPr>
    </w:lvl>
    <w:lvl w:ilvl="2">
      <w:start w:val="1"/>
      <w:numFmt w:val="decimal"/>
      <w:lvlText w:val="%1.%2.%3"/>
      <w:lvlJc w:val="left"/>
      <w:pPr>
        <w:ind w:left="2160" w:hanging="720"/>
      </w:pPr>
    </w:lvl>
    <w:lvl w:ilvl="3">
      <w:start w:val="1"/>
      <w:numFmt w:val="decimal"/>
      <w:lvlText w:val="%1.%2.%3.%4"/>
      <w:lvlJc w:val="left"/>
      <w:pPr>
        <w:ind w:left="2160" w:hanging="720"/>
      </w:pPr>
    </w:lvl>
    <w:lvl w:ilvl="4">
      <w:start w:val="1"/>
      <w:numFmt w:val="decimal"/>
      <w:lvlText w:val="%1.%2.%3.%4.%5"/>
      <w:lvlJc w:val="left"/>
      <w:pPr>
        <w:ind w:left="2520" w:hanging="1080"/>
      </w:pPr>
    </w:lvl>
    <w:lvl w:ilvl="5">
      <w:start w:val="1"/>
      <w:numFmt w:val="decimal"/>
      <w:lvlText w:val="%1.%2.%3.%4.%5.%6"/>
      <w:lvlJc w:val="left"/>
      <w:pPr>
        <w:ind w:left="2520" w:hanging="1080"/>
      </w:pPr>
    </w:lvl>
    <w:lvl w:ilvl="6">
      <w:start w:val="1"/>
      <w:numFmt w:val="decimal"/>
      <w:lvlText w:val="%1.%2.%3.%4.%5.%6.%7"/>
      <w:lvlJc w:val="left"/>
      <w:pPr>
        <w:ind w:left="2880" w:hanging="1440"/>
      </w:pPr>
    </w:lvl>
    <w:lvl w:ilvl="7">
      <w:start w:val="1"/>
      <w:numFmt w:val="decimal"/>
      <w:lvlText w:val="%1.%2.%3.%4.%5.%6.%7.%8"/>
      <w:lvlJc w:val="left"/>
      <w:pPr>
        <w:ind w:left="2880" w:hanging="1440"/>
      </w:pPr>
    </w:lvl>
    <w:lvl w:ilvl="8">
      <w:start w:val="1"/>
      <w:numFmt w:val="decimal"/>
      <w:lvlText w:val="%1.%2.%3.%4.%5.%6.%7.%8.%9"/>
      <w:lvlJc w:val="left"/>
      <w:pPr>
        <w:ind w:left="3240" w:hanging="1800"/>
      </w:pPr>
    </w:lvl>
  </w:abstractNum>
  <w:abstractNum w:abstractNumId="4" w15:restartNumberingAfterBreak="0">
    <w:nsid w:val="73670757"/>
    <w:multiLevelType w:val="multilevel"/>
    <w:tmpl w:val="A84609D0"/>
    <w:lvl w:ilvl="0">
      <w:start w:val="5"/>
      <w:numFmt w:val="decimalZero"/>
      <w:lvlText w:val="%1"/>
      <w:lvlJc w:val="left"/>
      <w:pPr>
        <w:ind w:left="600" w:hanging="600"/>
      </w:pPr>
      <w:rPr>
        <w:rFonts w:hint="default"/>
      </w:rPr>
    </w:lvl>
    <w:lvl w:ilvl="1">
      <w:start w:val="6"/>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8A94EAC"/>
    <w:multiLevelType w:val="multilevel"/>
    <w:tmpl w:val="B0C643B2"/>
    <w:lvl w:ilvl="0">
      <w:start w:val="2"/>
      <w:numFmt w:val="decimalZero"/>
      <w:lvlText w:val="%1"/>
      <w:lvlJc w:val="left"/>
      <w:pPr>
        <w:ind w:left="600" w:hanging="600"/>
      </w:pPr>
    </w:lvl>
    <w:lvl w:ilvl="1">
      <w:start w:val="4"/>
      <w:numFmt w:val="decimalZero"/>
      <w:lvlText w:val="%1.%2"/>
      <w:lvlJc w:val="left"/>
      <w:pPr>
        <w:ind w:left="960" w:hanging="60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num w:numId="1" w16cid:durableId="308291795">
    <w:abstractNumId w:val="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968930">
    <w:abstractNumId w:val="2"/>
  </w:num>
  <w:num w:numId="3" w16cid:durableId="5817202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2706808">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1935641">
    <w:abstractNumId w:val="4"/>
  </w:num>
  <w:num w:numId="6" w16cid:durableId="224415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D1"/>
    <w:rsid w:val="00030B69"/>
    <w:rsid w:val="00032A85"/>
    <w:rsid w:val="00035ECF"/>
    <w:rsid w:val="00064C00"/>
    <w:rsid w:val="00070187"/>
    <w:rsid w:val="0009630F"/>
    <w:rsid w:val="000A1F68"/>
    <w:rsid w:val="000A63EA"/>
    <w:rsid w:val="000D00AD"/>
    <w:rsid w:val="00154326"/>
    <w:rsid w:val="00156D37"/>
    <w:rsid w:val="0017100E"/>
    <w:rsid w:val="00177F23"/>
    <w:rsid w:val="001A3265"/>
    <w:rsid w:val="001B2A05"/>
    <w:rsid w:val="001C310E"/>
    <w:rsid w:val="001E5198"/>
    <w:rsid w:val="001F1C0B"/>
    <w:rsid w:val="00223ECC"/>
    <w:rsid w:val="00230EAC"/>
    <w:rsid w:val="00235D12"/>
    <w:rsid w:val="00255A20"/>
    <w:rsid w:val="002644E7"/>
    <w:rsid w:val="002905A5"/>
    <w:rsid w:val="002A021E"/>
    <w:rsid w:val="002A7D76"/>
    <w:rsid w:val="002B3601"/>
    <w:rsid w:val="002D6EA0"/>
    <w:rsid w:val="002E4341"/>
    <w:rsid w:val="00303806"/>
    <w:rsid w:val="00331C07"/>
    <w:rsid w:val="00332F90"/>
    <w:rsid w:val="003400F9"/>
    <w:rsid w:val="00343E86"/>
    <w:rsid w:val="00362DB9"/>
    <w:rsid w:val="00382A72"/>
    <w:rsid w:val="003A06B6"/>
    <w:rsid w:val="003B116C"/>
    <w:rsid w:val="003B7AD6"/>
    <w:rsid w:val="003C54E3"/>
    <w:rsid w:val="003F00BE"/>
    <w:rsid w:val="00403A24"/>
    <w:rsid w:val="00407529"/>
    <w:rsid w:val="00431A33"/>
    <w:rsid w:val="00433B0C"/>
    <w:rsid w:val="00452531"/>
    <w:rsid w:val="0046476C"/>
    <w:rsid w:val="004760ED"/>
    <w:rsid w:val="0048308F"/>
    <w:rsid w:val="004C694A"/>
    <w:rsid w:val="004E132F"/>
    <w:rsid w:val="004E50F4"/>
    <w:rsid w:val="004E6920"/>
    <w:rsid w:val="0058112F"/>
    <w:rsid w:val="00590F09"/>
    <w:rsid w:val="005B668C"/>
    <w:rsid w:val="005C4A19"/>
    <w:rsid w:val="005E63D8"/>
    <w:rsid w:val="005F6E6F"/>
    <w:rsid w:val="006014FF"/>
    <w:rsid w:val="0060478E"/>
    <w:rsid w:val="006103DA"/>
    <w:rsid w:val="00610AD8"/>
    <w:rsid w:val="006224A4"/>
    <w:rsid w:val="00632805"/>
    <w:rsid w:val="00637822"/>
    <w:rsid w:val="00640226"/>
    <w:rsid w:val="00641D1C"/>
    <w:rsid w:val="0064641E"/>
    <w:rsid w:val="00663DB3"/>
    <w:rsid w:val="006722D0"/>
    <w:rsid w:val="006764ED"/>
    <w:rsid w:val="006C3100"/>
    <w:rsid w:val="006D74F9"/>
    <w:rsid w:val="006E4C58"/>
    <w:rsid w:val="00706CF7"/>
    <w:rsid w:val="00713A31"/>
    <w:rsid w:val="00727CC5"/>
    <w:rsid w:val="00745660"/>
    <w:rsid w:val="00750D03"/>
    <w:rsid w:val="00752607"/>
    <w:rsid w:val="00761D81"/>
    <w:rsid w:val="00774E3E"/>
    <w:rsid w:val="00786F5F"/>
    <w:rsid w:val="007A2146"/>
    <w:rsid w:val="007B2E92"/>
    <w:rsid w:val="007B6647"/>
    <w:rsid w:val="007E6339"/>
    <w:rsid w:val="00805F7A"/>
    <w:rsid w:val="00810579"/>
    <w:rsid w:val="00811AAA"/>
    <w:rsid w:val="0082594E"/>
    <w:rsid w:val="0083023A"/>
    <w:rsid w:val="00832E4D"/>
    <w:rsid w:val="00850FFA"/>
    <w:rsid w:val="008634BB"/>
    <w:rsid w:val="008A0796"/>
    <w:rsid w:val="008A2562"/>
    <w:rsid w:val="008D2A6D"/>
    <w:rsid w:val="008E4592"/>
    <w:rsid w:val="00905E00"/>
    <w:rsid w:val="00960433"/>
    <w:rsid w:val="0097565B"/>
    <w:rsid w:val="00981D1C"/>
    <w:rsid w:val="00986E49"/>
    <w:rsid w:val="00987BC3"/>
    <w:rsid w:val="009A77DC"/>
    <w:rsid w:val="00A24F7E"/>
    <w:rsid w:val="00A36598"/>
    <w:rsid w:val="00A60252"/>
    <w:rsid w:val="00A700EC"/>
    <w:rsid w:val="00A920C5"/>
    <w:rsid w:val="00AB1A1E"/>
    <w:rsid w:val="00AD71BF"/>
    <w:rsid w:val="00B00090"/>
    <w:rsid w:val="00B031B5"/>
    <w:rsid w:val="00B04E2F"/>
    <w:rsid w:val="00B431B9"/>
    <w:rsid w:val="00B526AE"/>
    <w:rsid w:val="00B8256F"/>
    <w:rsid w:val="00B90369"/>
    <w:rsid w:val="00B91D40"/>
    <w:rsid w:val="00B95562"/>
    <w:rsid w:val="00BA1C99"/>
    <w:rsid w:val="00BA6E45"/>
    <w:rsid w:val="00BA72AF"/>
    <w:rsid w:val="00BB112A"/>
    <w:rsid w:val="00BB5082"/>
    <w:rsid w:val="00BC7513"/>
    <w:rsid w:val="00BE5153"/>
    <w:rsid w:val="00BF2968"/>
    <w:rsid w:val="00C0084C"/>
    <w:rsid w:val="00C24243"/>
    <w:rsid w:val="00C3633D"/>
    <w:rsid w:val="00C569C6"/>
    <w:rsid w:val="00C76D6D"/>
    <w:rsid w:val="00C77ABC"/>
    <w:rsid w:val="00C85A01"/>
    <w:rsid w:val="00CB72EB"/>
    <w:rsid w:val="00D0044D"/>
    <w:rsid w:val="00D0093D"/>
    <w:rsid w:val="00D01E19"/>
    <w:rsid w:val="00D06AAF"/>
    <w:rsid w:val="00D32848"/>
    <w:rsid w:val="00D35A84"/>
    <w:rsid w:val="00D5240A"/>
    <w:rsid w:val="00D569DF"/>
    <w:rsid w:val="00D605D1"/>
    <w:rsid w:val="00D63817"/>
    <w:rsid w:val="00DA4DF0"/>
    <w:rsid w:val="00DB0412"/>
    <w:rsid w:val="00DB4D8C"/>
    <w:rsid w:val="00DB5ACA"/>
    <w:rsid w:val="00DF3B84"/>
    <w:rsid w:val="00DF76C5"/>
    <w:rsid w:val="00E40344"/>
    <w:rsid w:val="00E57A05"/>
    <w:rsid w:val="00E72735"/>
    <w:rsid w:val="00E76289"/>
    <w:rsid w:val="00EB63D8"/>
    <w:rsid w:val="00ED30BD"/>
    <w:rsid w:val="00EE781F"/>
    <w:rsid w:val="00EF185C"/>
    <w:rsid w:val="00EF4E9F"/>
    <w:rsid w:val="00F07A70"/>
    <w:rsid w:val="00F21FC9"/>
    <w:rsid w:val="00F82E91"/>
    <w:rsid w:val="00FA32E7"/>
    <w:rsid w:val="00FB449D"/>
    <w:rsid w:val="7B745F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F7245"/>
  <w15:docId w15:val="{9B16E6D4-43BE-46F8-8766-C0E416E3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qFormat/>
    <w:rsid w:val="00D605D1"/>
    <w:pPr>
      <w:keepNext/>
      <w:keepLines/>
      <w:spacing w:before="200"/>
      <w:ind w:left="2880"/>
      <w:outlineLvl w:val="4"/>
    </w:pPr>
    <w:rPr>
      <w:rFonts w:ascii="Cambria" w:eastAsia="Times New Roman" w:hAnsi="Cambria" w:cs="Times New Roman"/>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5153"/>
    <w:pPr>
      <w:framePr w:w="7920" w:h="1980" w:hRule="exact" w:hSpace="180" w:wrap="auto" w:hAnchor="page" w:xAlign="center" w:yAlign="bottom"/>
      <w:ind w:left="2880"/>
    </w:pPr>
    <w:rPr>
      <w:rFonts w:eastAsiaTheme="majorEastAsia"/>
    </w:rPr>
  </w:style>
  <w:style w:type="character" w:customStyle="1" w:styleId="Heading5Char">
    <w:name w:val="Heading 5 Char"/>
    <w:basedOn w:val="DefaultParagraphFont"/>
    <w:link w:val="Heading5"/>
    <w:uiPriority w:val="9"/>
    <w:rsid w:val="00D605D1"/>
    <w:rPr>
      <w:rFonts w:ascii="Cambria" w:eastAsia="Times New Roman" w:hAnsi="Cambria" w:cs="Times New Roman"/>
      <w:color w:val="243F60"/>
      <w:sz w:val="22"/>
      <w:szCs w:val="22"/>
    </w:rPr>
  </w:style>
  <w:style w:type="character" w:styleId="Hyperlink">
    <w:name w:val="Hyperlink"/>
    <w:basedOn w:val="DefaultParagraphFont"/>
    <w:uiPriority w:val="99"/>
    <w:unhideWhenUsed/>
    <w:rsid w:val="00D605D1"/>
    <w:rPr>
      <w:color w:val="0000FF"/>
      <w:u w:val="single"/>
    </w:rPr>
  </w:style>
  <w:style w:type="paragraph" w:styleId="ListParagraph">
    <w:name w:val="List Paragraph"/>
    <w:basedOn w:val="Normal"/>
    <w:uiPriority w:val="34"/>
    <w:qFormat/>
    <w:rsid w:val="00D605D1"/>
    <w:pPr>
      <w:ind w:left="720"/>
      <w:contextualSpacing/>
    </w:pPr>
    <w:rPr>
      <w:rFonts w:ascii="Calibri" w:eastAsia="Calibri" w:hAnsi="Calibri" w:cs="Times New Roman"/>
      <w:sz w:val="22"/>
      <w:szCs w:val="22"/>
    </w:rPr>
  </w:style>
  <w:style w:type="paragraph" w:customStyle="1" w:styleId="CM8">
    <w:name w:val="CM8"/>
    <w:basedOn w:val="Normal"/>
    <w:next w:val="Normal"/>
    <w:uiPriority w:val="99"/>
    <w:rsid w:val="00D605D1"/>
    <w:pPr>
      <w:autoSpaceDE w:val="0"/>
      <w:autoSpaceDN w:val="0"/>
      <w:adjustRightInd w:val="0"/>
      <w:spacing w:line="276" w:lineRule="atLeast"/>
    </w:pPr>
    <w:rPr>
      <w:rFonts w:ascii="Arial" w:eastAsia="Calibri" w:hAnsi="Arial" w:cs="Arial"/>
    </w:rPr>
  </w:style>
  <w:style w:type="character" w:styleId="FollowedHyperlink">
    <w:name w:val="FollowedHyperlink"/>
    <w:basedOn w:val="DefaultParagraphFont"/>
    <w:uiPriority w:val="99"/>
    <w:semiHidden/>
    <w:unhideWhenUsed/>
    <w:rsid w:val="001A3265"/>
    <w:rPr>
      <w:color w:val="954F72" w:themeColor="followedHyperlink"/>
      <w:u w:val="single"/>
    </w:rPr>
  </w:style>
  <w:style w:type="paragraph" w:styleId="Header">
    <w:name w:val="header"/>
    <w:basedOn w:val="Normal"/>
    <w:link w:val="HeaderChar"/>
    <w:uiPriority w:val="99"/>
    <w:unhideWhenUsed/>
    <w:rsid w:val="00832E4D"/>
    <w:pPr>
      <w:tabs>
        <w:tab w:val="center" w:pos="4680"/>
        <w:tab w:val="right" w:pos="9360"/>
      </w:tabs>
    </w:pPr>
  </w:style>
  <w:style w:type="character" w:customStyle="1" w:styleId="HeaderChar">
    <w:name w:val="Header Char"/>
    <w:basedOn w:val="DefaultParagraphFont"/>
    <w:link w:val="Header"/>
    <w:uiPriority w:val="99"/>
    <w:rsid w:val="00832E4D"/>
  </w:style>
  <w:style w:type="paragraph" w:styleId="Footer">
    <w:name w:val="footer"/>
    <w:basedOn w:val="Normal"/>
    <w:link w:val="FooterChar"/>
    <w:uiPriority w:val="99"/>
    <w:unhideWhenUsed/>
    <w:rsid w:val="00832E4D"/>
    <w:pPr>
      <w:tabs>
        <w:tab w:val="center" w:pos="4680"/>
        <w:tab w:val="right" w:pos="9360"/>
      </w:tabs>
    </w:pPr>
  </w:style>
  <w:style w:type="character" w:customStyle="1" w:styleId="FooterChar">
    <w:name w:val="Footer Char"/>
    <w:basedOn w:val="DefaultParagraphFont"/>
    <w:link w:val="Footer"/>
    <w:uiPriority w:val="99"/>
    <w:rsid w:val="00832E4D"/>
  </w:style>
  <w:style w:type="paragraph" w:styleId="BalloonText">
    <w:name w:val="Balloon Text"/>
    <w:basedOn w:val="Normal"/>
    <w:link w:val="BalloonTextChar"/>
    <w:uiPriority w:val="99"/>
    <w:semiHidden/>
    <w:unhideWhenUsed/>
    <w:rsid w:val="00663DB3"/>
    <w:rPr>
      <w:rFonts w:ascii="Tahoma" w:hAnsi="Tahoma" w:cs="Tahoma"/>
      <w:sz w:val="16"/>
      <w:szCs w:val="16"/>
    </w:rPr>
  </w:style>
  <w:style w:type="character" w:customStyle="1" w:styleId="BalloonTextChar">
    <w:name w:val="Balloon Text Char"/>
    <w:basedOn w:val="DefaultParagraphFont"/>
    <w:link w:val="BalloonText"/>
    <w:uiPriority w:val="99"/>
    <w:semiHidden/>
    <w:rsid w:val="00663DB3"/>
    <w:rPr>
      <w:rFonts w:ascii="Tahoma" w:hAnsi="Tahoma" w:cs="Tahoma"/>
      <w:sz w:val="16"/>
      <w:szCs w:val="16"/>
    </w:rPr>
  </w:style>
  <w:style w:type="character" w:styleId="CommentReference">
    <w:name w:val="annotation reference"/>
    <w:basedOn w:val="DefaultParagraphFont"/>
    <w:uiPriority w:val="99"/>
    <w:semiHidden/>
    <w:unhideWhenUsed/>
    <w:rsid w:val="003A06B6"/>
    <w:rPr>
      <w:sz w:val="16"/>
      <w:szCs w:val="16"/>
    </w:rPr>
  </w:style>
  <w:style w:type="paragraph" w:styleId="CommentText">
    <w:name w:val="annotation text"/>
    <w:basedOn w:val="Normal"/>
    <w:link w:val="CommentTextChar"/>
    <w:uiPriority w:val="99"/>
    <w:semiHidden/>
    <w:unhideWhenUsed/>
    <w:rsid w:val="003A06B6"/>
    <w:rPr>
      <w:sz w:val="20"/>
      <w:szCs w:val="20"/>
    </w:rPr>
  </w:style>
  <w:style w:type="character" w:customStyle="1" w:styleId="CommentTextChar">
    <w:name w:val="Comment Text Char"/>
    <w:basedOn w:val="DefaultParagraphFont"/>
    <w:link w:val="CommentText"/>
    <w:uiPriority w:val="99"/>
    <w:semiHidden/>
    <w:rsid w:val="003A06B6"/>
    <w:rPr>
      <w:sz w:val="20"/>
      <w:szCs w:val="20"/>
    </w:rPr>
  </w:style>
  <w:style w:type="paragraph" w:styleId="CommentSubject">
    <w:name w:val="annotation subject"/>
    <w:basedOn w:val="CommentText"/>
    <w:next w:val="CommentText"/>
    <w:link w:val="CommentSubjectChar"/>
    <w:uiPriority w:val="99"/>
    <w:semiHidden/>
    <w:unhideWhenUsed/>
    <w:rsid w:val="003A06B6"/>
    <w:rPr>
      <w:b/>
      <w:bCs/>
    </w:rPr>
  </w:style>
  <w:style w:type="character" w:customStyle="1" w:styleId="CommentSubjectChar">
    <w:name w:val="Comment Subject Char"/>
    <w:basedOn w:val="CommentTextChar"/>
    <w:link w:val="CommentSubject"/>
    <w:uiPriority w:val="99"/>
    <w:semiHidden/>
    <w:rsid w:val="003A06B6"/>
    <w:rPr>
      <w:b/>
      <w:bCs/>
      <w:sz w:val="20"/>
      <w:szCs w:val="20"/>
    </w:rPr>
  </w:style>
  <w:style w:type="paragraph" w:styleId="Revision">
    <w:name w:val="Revision"/>
    <w:hidden/>
    <w:uiPriority w:val="99"/>
    <w:semiHidden/>
    <w:rsid w:val="00E76289"/>
  </w:style>
  <w:style w:type="character" w:customStyle="1" w:styleId="UnresolvedMention1">
    <w:name w:val="Unresolved Mention1"/>
    <w:basedOn w:val="DefaultParagraphFont"/>
    <w:uiPriority w:val="99"/>
    <w:semiHidden/>
    <w:unhideWhenUsed/>
    <w:rsid w:val="00D0044D"/>
    <w:rPr>
      <w:color w:val="605E5C"/>
      <w:shd w:val="clear" w:color="auto" w:fill="E1DFDD"/>
    </w:rPr>
  </w:style>
  <w:style w:type="character" w:styleId="UnresolvedMention">
    <w:name w:val="Unresolved Mention"/>
    <w:basedOn w:val="DefaultParagraphFont"/>
    <w:uiPriority w:val="99"/>
    <w:semiHidden/>
    <w:unhideWhenUsed/>
    <w:rsid w:val="00BB5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tutes.capitol.texas.gov/Docs/CP/htm/CP.101.htm" TargetMode="External"/><Relationship Id="rId18" Type="http://schemas.openxmlformats.org/officeDocument/2006/relationships/hyperlink" Target="https://policies.txstate.edu/university-policies/04-04-43.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rs.gov/pub/irs-pdf/f1099msc.pdf" TargetMode="External"/><Relationship Id="rId7" Type="http://schemas.openxmlformats.org/officeDocument/2006/relationships/settings" Target="settings.xml"/><Relationship Id="rId12" Type="http://schemas.openxmlformats.org/officeDocument/2006/relationships/hyperlink" Target="https://statutes.capitol.texas.gov/Docs/CP/htm/CP.101.htm" TargetMode="External"/><Relationship Id="rId17" Type="http://schemas.openxmlformats.org/officeDocument/2006/relationships/hyperlink" Target="http://www.lbb.state.tx.us/Documents/GAA/General_Appropriations_Act_2018-2019.pdf" TargetMode="External"/><Relationship Id="rId25" Type="http://schemas.openxmlformats.org/officeDocument/2006/relationships/hyperlink" Target="https://www.irs.gov/pub/irs-pdf/f1099msc.pdf" TargetMode="External"/><Relationship Id="rId2" Type="http://schemas.openxmlformats.org/officeDocument/2006/relationships/customXml" Target="../customXml/item2.xml"/><Relationship Id="rId16" Type="http://schemas.openxmlformats.org/officeDocument/2006/relationships/hyperlink" Target="http://www.lbb.state.tx.us/Documents/GAA/General_Appropriations_Act_2018-2019.pdf" TargetMode="External"/><Relationship Id="rId20" Type="http://schemas.openxmlformats.org/officeDocument/2006/relationships/hyperlink" Target="https://gato-docs.its.txstate.edu/jcr:3e67ed17-fb76-4b7f-ab5f-102607464f13/CLAIM%20FOR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utes.capitol.texas.gov/Docs/CP/htm/CP.101.htm" TargetMode="External"/><Relationship Id="rId24" Type="http://schemas.openxmlformats.org/officeDocument/2006/relationships/hyperlink" Target="https://www.irs.gov/pub/irs-pdf/f1099msc.pdf" TargetMode="External"/><Relationship Id="rId5" Type="http://schemas.openxmlformats.org/officeDocument/2006/relationships/numbering" Target="numbering.xml"/><Relationship Id="rId15" Type="http://schemas.openxmlformats.org/officeDocument/2006/relationships/hyperlink" Target="http://www.lbb.state.tx.us/Documents/GAA/General_Appropriations_Act_2018-2019.pdf" TargetMode="External"/><Relationship Id="rId23" Type="http://schemas.openxmlformats.org/officeDocument/2006/relationships/hyperlink" Target="https://www.irs.gov/pub/irs-pdf/fw2.pdf" TargetMode="External"/><Relationship Id="rId10" Type="http://schemas.openxmlformats.org/officeDocument/2006/relationships/endnotes" Target="endnotes.xml"/><Relationship Id="rId19" Type="http://schemas.openxmlformats.org/officeDocument/2006/relationships/hyperlink" Target="https://gato-docs.its.txstate.edu/jcr:3e67ed17-fb76-4b7f-ab5f-102607464f13/CLAIM%20FOR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utes.capitol.texas.gov/Docs/CP/htm/CP.104.htm" TargetMode="External"/><Relationship Id="rId22" Type="http://schemas.openxmlformats.org/officeDocument/2006/relationships/hyperlink" Target="https://www.irs.gov/pub/irs-pdf/fw2.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88229-76B4-4D80-8AEF-ACBC4D57F0FD}">
  <ds:schemaRefs>
    <ds:schemaRef ds:uri="http://schemas.microsoft.com/sharepoint/v3/contenttype/forms"/>
  </ds:schemaRefs>
</ds:datastoreItem>
</file>

<file path=customXml/itemProps2.xml><?xml version="1.0" encoding="utf-8"?>
<ds:datastoreItem xmlns:ds="http://schemas.openxmlformats.org/officeDocument/2006/customXml" ds:itemID="{B1A92BCE-6A8E-478C-8CD9-18353657752D}">
  <ds:schemaRefs>
    <ds:schemaRef ds:uri="http://schemas.openxmlformats.org/officeDocument/2006/bibliography"/>
  </ds:schemaRefs>
</ds:datastoreItem>
</file>

<file path=customXml/itemProps3.xml><?xml version="1.0" encoding="utf-8"?>
<ds:datastoreItem xmlns:ds="http://schemas.openxmlformats.org/officeDocument/2006/customXml" ds:itemID="{E90D2750-95B8-4325-89AF-32CD8C80D7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864C4B-EC91-40BF-A222-30C6F7994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Prado, Patricia A</dc:creator>
  <cp:keywords/>
  <cp:lastModifiedBy>Martinez, Iza N</cp:lastModifiedBy>
  <cp:revision>3</cp:revision>
  <cp:lastPrinted>2022-07-05T18:33:00Z</cp:lastPrinted>
  <dcterms:created xsi:type="dcterms:W3CDTF">2022-07-19T18:50:00Z</dcterms:created>
  <dcterms:modified xsi:type="dcterms:W3CDTF">2022-08-01T19:38:00Z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