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94" w:rsidRDefault="00AA7E94" w:rsidP="008949BC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A7E94" w:rsidRDefault="00AA7E94" w:rsidP="008949BC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EXHIBIT E</w:t>
      </w:r>
    </w:p>
    <w:p w:rsidR="00AA7E94" w:rsidRDefault="00AA7E94" w:rsidP="008949BC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545DB4" w:rsidRDefault="008949BC" w:rsidP="008949BC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STAR PARK ENTRANCE CRITERIA</w:t>
      </w:r>
    </w:p>
    <w:p w:rsidR="008949BC" w:rsidRDefault="008949BC" w:rsidP="008949BC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8949BC" w:rsidRDefault="008949BC" w:rsidP="008949BC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Governing Development Principals</w:t>
      </w:r>
    </w:p>
    <w:p w:rsidR="008949BC" w:rsidRPr="00AA7E94" w:rsidRDefault="008949BC" w:rsidP="008949BC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 xml:space="preserve">For profit entities should be </w:t>
      </w:r>
      <w:proofErr w:type="gramStart"/>
      <w:r w:rsidRPr="00AA7E94">
        <w:rPr>
          <w:rFonts w:ascii="Garamond" w:hAnsi="Garamond"/>
          <w:sz w:val="24"/>
          <w:szCs w:val="24"/>
        </w:rPr>
        <w:t>engaged  in</w:t>
      </w:r>
      <w:proofErr w:type="gramEnd"/>
      <w:r w:rsidRPr="00AA7E94">
        <w:rPr>
          <w:rFonts w:ascii="Garamond" w:hAnsi="Garamond"/>
          <w:sz w:val="24"/>
          <w:szCs w:val="24"/>
        </w:rPr>
        <w:t xml:space="preserve"> the development and commercialization of scalable proprietary products, process</w:t>
      </w:r>
      <w:r w:rsidR="00686C6F" w:rsidRPr="00AA7E94">
        <w:rPr>
          <w:rFonts w:ascii="Garamond" w:hAnsi="Garamond"/>
          <w:sz w:val="24"/>
          <w:szCs w:val="24"/>
        </w:rPr>
        <w:t>es</w:t>
      </w:r>
      <w:r w:rsidRPr="00AA7E94">
        <w:rPr>
          <w:rFonts w:ascii="Garamond" w:hAnsi="Garamond"/>
          <w:sz w:val="24"/>
          <w:szCs w:val="24"/>
        </w:rPr>
        <w:t xml:space="preserve"> and/or services</w:t>
      </w:r>
    </w:p>
    <w:p w:rsidR="008949BC" w:rsidRPr="00AA7E94" w:rsidRDefault="008949BC" w:rsidP="008949BC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Activities must embrace elements which epitomize</w:t>
      </w:r>
      <w:r w:rsidR="00322BAC">
        <w:rPr>
          <w:rFonts w:ascii="Garamond" w:hAnsi="Garamond"/>
          <w:sz w:val="24"/>
          <w:szCs w:val="24"/>
        </w:rPr>
        <w:t xml:space="preserve"> commercialization, entrepre</w:t>
      </w:r>
      <w:r w:rsidR="00AE415A">
        <w:rPr>
          <w:rFonts w:ascii="Garamond" w:hAnsi="Garamond"/>
          <w:sz w:val="24"/>
          <w:szCs w:val="24"/>
        </w:rPr>
        <w:t>neurship, and/or</w:t>
      </w:r>
      <w:bookmarkStart w:id="0" w:name="_GoBack"/>
      <w:bookmarkEnd w:id="0"/>
      <w:r w:rsidR="00AE415A">
        <w:rPr>
          <w:rFonts w:ascii="Garamond" w:hAnsi="Garamond"/>
          <w:sz w:val="24"/>
          <w:szCs w:val="24"/>
        </w:rPr>
        <w:t xml:space="preserve"> innovation (CEI)</w:t>
      </w:r>
    </w:p>
    <w:p w:rsidR="008949BC" w:rsidRPr="00AA7E94" w:rsidRDefault="008949BC" w:rsidP="008949BC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Entities locating within STAR Park must undertake a good faith effort to engage in meaningful collaborations with Texas State University</w:t>
      </w:r>
    </w:p>
    <w:p w:rsidR="008949BC" w:rsidRPr="00AA7E94" w:rsidRDefault="008949BC" w:rsidP="008949BC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 xml:space="preserve">Admission of entities and approval of activities will be </w:t>
      </w:r>
      <w:r w:rsidR="00686C6F" w:rsidRPr="00AA7E94">
        <w:rPr>
          <w:rFonts w:ascii="Garamond" w:hAnsi="Garamond"/>
          <w:sz w:val="24"/>
          <w:szCs w:val="24"/>
        </w:rPr>
        <w:t>provided</w:t>
      </w:r>
      <w:r w:rsidRPr="00AA7E94">
        <w:rPr>
          <w:rFonts w:ascii="Garamond" w:hAnsi="Garamond"/>
          <w:sz w:val="24"/>
          <w:szCs w:val="24"/>
        </w:rPr>
        <w:t xml:space="preserve"> by Texas State University in accordance with the University’s determination that the</w:t>
      </w:r>
      <w:r w:rsidR="0058440C" w:rsidRPr="00AA7E94">
        <w:rPr>
          <w:rFonts w:ascii="Garamond" w:hAnsi="Garamond"/>
          <w:sz w:val="24"/>
          <w:szCs w:val="24"/>
        </w:rPr>
        <w:t xml:space="preserve"> presence of the</w:t>
      </w:r>
      <w:r w:rsidR="00686C6F" w:rsidRPr="00AA7E94">
        <w:rPr>
          <w:rFonts w:ascii="Garamond" w:hAnsi="Garamond"/>
          <w:sz w:val="24"/>
          <w:szCs w:val="24"/>
        </w:rPr>
        <w:t xml:space="preserve"> proposed entities and activities</w:t>
      </w:r>
      <w:r w:rsidRPr="00AA7E94">
        <w:rPr>
          <w:rFonts w:ascii="Garamond" w:hAnsi="Garamond"/>
          <w:sz w:val="24"/>
          <w:szCs w:val="24"/>
        </w:rPr>
        <w:t xml:space="preserve"> will be in the best interests of Texas State.</w:t>
      </w:r>
    </w:p>
    <w:p w:rsidR="008949BC" w:rsidRDefault="008949BC" w:rsidP="008949BC">
      <w:pPr>
        <w:spacing w:after="0"/>
        <w:rPr>
          <w:rFonts w:ascii="Garamond" w:hAnsi="Garamond"/>
          <w:sz w:val="28"/>
          <w:szCs w:val="28"/>
        </w:rPr>
      </w:pPr>
    </w:p>
    <w:p w:rsidR="008949BC" w:rsidRDefault="008949BC" w:rsidP="008949BC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Examples of Allowed Activities</w:t>
      </w:r>
    </w:p>
    <w:p w:rsidR="008949BC" w:rsidRPr="00AA7E94" w:rsidRDefault="008949BC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Applied research</w:t>
      </w:r>
    </w:p>
    <w:p w:rsidR="008949BC" w:rsidRPr="00AA7E94" w:rsidRDefault="008949BC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Product and/or process development</w:t>
      </w:r>
    </w:p>
    <w:p w:rsidR="008949BC" w:rsidRPr="00AA7E94" w:rsidRDefault="008949BC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Engineering</w:t>
      </w:r>
    </w:p>
    <w:p w:rsidR="00DE471B" w:rsidRPr="00AA7E94" w:rsidRDefault="00DE471B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Design activities</w:t>
      </w:r>
    </w:p>
    <w:p w:rsidR="008949BC" w:rsidRPr="00AA7E94" w:rsidRDefault="008949BC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Testing (destructive and nondestructive)</w:t>
      </w:r>
    </w:p>
    <w:p w:rsidR="008949BC" w:rsidRPr="00AA7E94" w:rsidRDefault="008949BC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Prototyping (including advanced and</w:t>
      </w:r>
      <w:r w:rsidR="00DE471B" w:rsidRPr="00AA7E94">
        <w:rPr>
          <w:rFonts w:ascii="Garamond" w:hAnsi="Garamond"/>
          <w:sz w:val="24"/>
          <w:szCs w:val="24"/>
        </w:rPr>
        <w:t>/or</w:t>
      </w:r>
      <w:r w:rsidRPr="00AA7E94">
        <w:rPr>
          <w:rFonts w:ascii="Garamond" w:hAnsi="Garamond"/>
          <w:sz w:val="24"/>
          <w:szCs w:val="24"/>
        </w:rPr>
        <w:t xml:space="preserve"> additive manufacturing)</w:t>
      </w:r>
    </w:p>
    <w:p w:rsidR="008949BC" w:rsidRPr="00AA7E94" w:rsidRDefault="008949BC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Materials analysis and/or characterization</w:t>
      </w:r>
    </w:p>
    <w:p w:rsidR="008949BC" w:rsidRPr="00AA7E94" w:rsidRDefault="008949BC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Data analytics</w:t>
      </w:r>
    </w:p>
    <w:p w:rsidR="008949BC" w:rsidRPr="00AA7E94" w:rsidRDefault="008949BC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Software development, deployment and support (if proprietary)</w:t>
      </w:r>
    </w:p>
    <w:p w:rsidR="00686C6F" w:rsidRPr="00AA7E94" w:rsidRDefault="00686C6F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Specialized services supporting growth of client firms (i.e. venture capital fund offices, Intellectual Property legal practice offices)</w:t>
      </w:r>
    </w:p>
    <w:p w:rsidR="008949BC" w:rsidRPr="00AA7E94" w:rsidRDefault="00686C6F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Incidental activities required to maintain or support other allowable uses (e.g. maintenance shops, machine shops, waste management facilities)</w:t>
      </w:r>
    </w:p>
    <w:p w:rsidR="007902B9" w:rsidRPr="00AA7E94" w:rsidRDefault="007902B9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 xml:space="preserve">Offices and related facilities of not for profit research or educational entities as well as professional, training, research, scientific or engineering associations </w:t>
      </w:r>
    </w:p>
    <w:p w:rsidR="00686C6F" w:rsidRPr="00AA7E94" w:rsidRDefault="00686C6F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 xml:space="preserve">Limited types of retail and commercial activities which support and strengthen </w:t>
      </w:r>
      <w:r w:rsidR="0058440C" w:rsidRPr="00AA7E94">
        <w:rPr>
          <w:rFonts w:ascii="Garamond" w:hAnsi="Garamond"/>
          <w:sz w:val="24"/>
          <w:szCs w:val="24"/>
        </w:rPr>
        <w:t>a</w:t>
      </w:r>
      <w:r w:rsidRPr="00AA7E94">
        <w:rPr>
          <w:rFonts w:ascii="Garamond" w:hAnsi="Garamond"/>
          <w:sz w:val="24"/>
          <w:szCs w:val="24"/>
        </w:rPr>
        <w:t xml:space="preserve"> sense of place at STAR Park (e.g. coffee shops, ATM locations, private day care centers, private recreation facilities, office supplies/copier services)</w:t>
      </w:r>
    </w:p>
    <w:p w:rsidR="0058440C" w:rsidRPr="00AA7E94" w:rsidRDefault="0058440C" w:rsidP="008949B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Other activities which in the judgment of the University provide unique opportunities for collaboration and furtherance of the mission and role of STAR Park</w:t>
      </w:r>
    </w:p>
    <w:p w:rsidR="00686C6F" w:rsidRDefault="00686C6F" w:rsidP="00686C6F">
      <w:pPr>
        <w:spacing w:after="0"/>
        <w:rPr>
          <w:rFonts w:ascii="Garamond" w:hAnsi="Garamond"/>
          <w:sz w:val="28"/>
          <w:szCs w:val="28"/>
        </w:rPr>
      </w:pPr>
    </w:p>
    <w:p w:rsidR="00686C6F" w:rsidRDefault="00686C6F" w:rsidP="00686C6F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Examples of Activities Prohibited in STAR Park</w:t>
      </w:r>
    </w:p>
    <w:p w:rsidR="00686C6F" w:rsidRPr="00AA7E94" w:rsidRDefault="00686C6F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Housing (permanent and rental)</w:t>
      </w:r>
    </w:p>
    <w:p w:rsidR="00686C6F" w:rsidRPr="00AA7E94" w:rsidRDefault="007902B9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lastRenderedPageBreak/>
        <w:t>Hotels or other short term stay facilities</w:t>
      </w:r>
    </w:p>
    <w:p w:rsidR="00DE471B" w:rsidRPr="00AA7E94" w:rsidRDefault="00DE471B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Medical clinics or offices</w:t>
      </w:r>
    </w:p>
    <w:p w:rsidR="00DE471B" w:rsidRPr="00AA7E94" w:rsidRDefault="00DE471B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General retail and/or commercial activities not directly related to fulfillment of the mission and role of STAR Park</w:t>
      </w:r>
    </w:p>
    <w:p w:rsidR="007902B9" w:rsidRPr="00AA7E94" w:rsidRDefault="007902B9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Business service</w:t>
      </w:r>
      <w:r w:rsidR="00DE471B" w:rsidRPr="00AA7E94">
        <w:rPr>
          <w:rFonts w:ascii="Garamond" w:hAnsi="Garamond"/>
          <w:sz w:val="24"/>
          <w:szCs w:val="24"/>
        </w:rPr>
        <w:t xml:space="preserve"> activities</w:t>
      </w:r>
      <w:r w:rsidRPr="00AA7E94">
        <w:rPr>
          <w:rFonts w:ascii="Garamond" w:hAnsi="Garamond"/>
          <w:sz w:val="24"/>
          <w:szCs w:val="24"/>
        </w:rPr>
        <w:t xml:space="preserve"> which do not include an onsite research and development component directly related to their </w:t>
      </w:r>
      <w:r w:rsidR="00DE471B" w:rsidRPr="00AA7E94">
        <w:rPr>
          <w:rFonts w:ascii="Garamond" w:hAnsi="Garamond"/>
          <w:sz w:val="24"/>
          <w:szCs w:val="24"/>
        </w:rPr>
        <w:t>operations (i.e. inbound/outbound customer service centers, data centers, internal business support activities such as HR, accounting)</w:t>
      </w:r>
    </w:p>
    <w:p w:rsidR="0058440C" w:rsidRPr="00AA7E94" w:rsidRDefault="0058440C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Academic course offerings not directly related to the role and mission of STAR Park</w:t>
      </w:r>
    </w:p>
    <w:p w:rsidR="007902B9" w:rsidRPr="00AA7E94" w:rsidRDefault="007902B9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Distribution or warehouse operations except as such operations are incidental to an approved activity and do not materially impact the environment and mission of STAR Park</w:t>
      </w:r>
    </w:p>
    <w:p w:rsidR="007902B9" w:rsidRPr="00AA7E94" w:rsidRDefault="007902B9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Facilities of the type that could cause an adverse impact through excessive noise, noxious odors or emissions of environmentally hazardous effluents or gasses.</w:t>
      </w:r>
    </w:p>
    <w:p w:rsidR="007902B9" w:rsidRPr="00AA7E94" w:rsidRDefault="007902B9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 xml:space="preserve">Manufacturing operations which do not include onsite research and development activities or </w:t>
      </w:r>
      <w:r w:rsidR="00DE471B" w:rsidRPr="00AA7E94">
        <w:rPr>
          <w:rFonts w:ascii="Garamond" w:hAnsi="Garamond"/>
          <w:sz w:val="24"/>
          <w:szCs w:val="24"/>
        </w:rPr>
        <w:t xml:space="preserve">which </w:t>
      </w:r>
      <w:r w:rsidRPr="00AA7E94">
        <w:rPr>
          <w:rFonts w:ascii="Garamond" w:hAnsi="Garamond"/>
          <w:sz w:val="24"/>
          <w:szCs w:val="24"/>
        </w:rPr>
        <w:t>through normal operations would adversely affect the environment and mission of STAR Park</w:t>
      </w:r>
    </w:p>
    <w:p w:rsidR="0058440C" w:rsidRPr="00AA7E94" w:rsidRDefault="0058440C" w:rsidP="00686C6F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Facilities which do not meet the adopted STAR Park design standards and Covenants, Conditions and Restrictions</w:t>
      </w:r>
    </w:p>
    <w:p w:rsidR="00DE471B" w:rsidRDefault="00DE471B" w:rsidP="00DE471B">
      <w:pPr>
        <w:spacing w:after="0"/>
        <w:rPr>
          <w:rFonts w:ascii="Garamond" w:hAnsi="Garamond"/>
          <w:sz w:val="28"/>
          <w:szCs w:val="28"/>
        </w:rPr>
      </w:pPr>
    </w:p>
    <w:p w:rsidR="00DE471B" w:rsidRDefault="00DE471B" w:rsidP="00DE471B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Examples of Entities Which Might Locate in STAR Park</w:t>
      </w:r>
    </w:p>
    <w:p w:rsidR="00DE471B" w:rsidRPr="00AA7E94" w:rsidRDefault="00DE471B" w:rsidP="00DE471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For profit enterprises engaged onsite with approved activities</w:t>
      </w:r>
    </w:p>
    <w:p w:rsidR="00941AC0" w:rsidRPr="00AA7E94" w:rsidRDefault="00941AC0" w:rsidP="00DE471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Nonprofit entities engaged onsite with approved activities</w:t>
      </w:r>
    </w:p>
    <w:p w:rsidR="00DE471B" w:rsidRPr="00AA7E94" w:rsidRDefault="00DE471B" w:rsidP="00DE471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Government agencies or institutions engaged onsite with approved activities</w:t>
      </w:r>
    </w:p>
    <w:p w:rsidR="00DE471B" w:rsidRPr="00AA7E94" w:rsidRDefault="00DE471B" w:rsidP="00DE471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 xml:space="preserve">Collaborative research &amp; development facilities owned and/or operated by </w:t>
      </w:r>
      <w:r w:rsidR="00941AC0" w:rsidRPr="00AA7E94">
        <w:rPr>
          <w:rFonts w:ascii="Garamond" w:hAnsi="Garamond"/>
          <w:sz w:val="24"/>
          <w:szCs w:val="24"/>
        </w:rPr>
        <w:t>one or more</w:t>
      </w:r>
      <w:r w:rsidRPr="00AA7E94">
        <w:rPr>
          <w:rFonts w:ascii="Garamond" w:hAnsi="Garamond"/>
          <w:sz w:val="24"/>
          <w:szCs w:val="24"/>
        </w:rPr>
        <w:t xml:space="preserve"> institution</w:t>
      </w:r>
      <w:r w:rsidR="00941AC0" w:rsidRPr="00AA7E94">
        <w:rPr>
          <w:rFonts w:ascii="Garamond" w:hAnsi="Garamond"/>
          <w:sz w:val="24"/>
          <w:szCs w:val="24"/>
        </w:rPr>
        <w:t>s of higher education which are</w:t>
      </w:r>
      <w:r w:rsidRPr="00AA7E94">
        <w:rPr>
          <w:rFonts w:ascii="Garamond" w:hAnsi="Garamond"/>
          <w:sz w:val="24"/>
          <w:szCs w:val="24"/>
        </w:rPr>
        <w:t xml:space="preserve"> engaged in approved activities</w:t>
      </w:r>
    </w:p>
    <w:p w:rsidR="00DE471B" w:rsidRPr="00AA7E94" w:rsidRDefault="00DE471B" w:rsidP="00DE471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Industry consortium engaged in approved activities</w:t>
      </w:r>
    </w:p>
    <w:p w:rsidR="00DE471B" w:rsidRPr="00AA7E94" w:rsidRDefault="00941AC0" w:rsidP="00DE471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AA7E94">
        <w:rPr>
          <w:rFonts w:ascii="Garamond" w:hAnsi="Garamond"/>
          <w:sz w:val="24"/>
          <w:szCs w:val="24"/>
        </w:rPr>
        <w:t>Texas State University units engaged in approved activities</w:t>
      </w:r>
    </w:p>
    <w:sectPr w:rsidR="00DE471B" w:rsidRPr="00AA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FF9"/>
    <w:multiLevelType w:val="hybridMultilevel"/>
    <w:tmpl w:val="F340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350B"/>
    <w:multiLevelType w:val="hybridMultilevel"/>
    <w:tmpl w:val="6DC0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48B3"/>
    <w:multiLevelType w:val="hybridMultilevel"/>
    <w:tmpl w:val="79FC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9213E"/>
    <w:multiLevelType w:val="hybridMultilevel"/>
    <w:tmpl w:val="1FE6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C"/>
    <w:rsid w:val="00322BAC"/>
    <w:rsid w:val="00545DB4"/>
    <w:rsid w:val="0058440C"/>
    <w:rsid w:val="00686C6F"/>
    <w:rsid w:val="007902B9"/>
    <w:rsid w:val="008949BC"/>
    <w:rsid w:val="00941AC0"/>
    <w:rsid w:val="00AA7E94"/>
    <w:rsid w:val="00AE415A"/>
    <w:rsid w:val="00D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B709"/>
  <w15:chartTrackingRefBased/>
  <w15:docId w15:val="{CCFB4F72-72C0-4D13-8D7C-37FFE99B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Frayser, Stephen G</dc:creator>
  <cp:keywords/>
  <dc:description/>
  <cp:lastModifiedBy>Ferris, Miranda J</cp:lastModifiedBy>
  <cp:revision>2</cp:revision>
  <dcterms:created xsi:type="dcterms:W3CDTF">2017-10-12T14:43:00Z</dcterms:created>
  <dcterms:modified xsi:type="dcterms:W3CDTF">2017-10-12T14:43:00Z</dcterms:modified>
</cp:coreProperties>
</file>