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46E8" w14:textId="77777777" w:rsidR="00815092" w:rsidRDefault="00815092" w:rsidP="0058356F">
      <w:pPr>
        <w:pStyle w:val="NoSpacing"/>
        <w:tabs>
          <w:tab w:val="left" w:pos="5760"/>
        </w:tabs>
        <w:rPr>
          <w:rFonts w:ascii="Arial" w:eastAsia="Times New Roman" w:hAnsi="Arial" w:cs="Arial"/>
          <w:b/>
          <w:sz w:val="24"/>
          <w:szCs w:val="24"/>
        </w:rPr>
      </w:pPr>
    </w:p>
    <w:p w14:paraId="5C8E066D" w14:textId="77777777" w:rsidR="00815092" w:rsidRDefault="00815092" w:rsidP="0058356F">
      <w:pPr>
        <w:pStyle w:val="NoSpacing"/>
        <w:tabs>
          <w:tab w:val="left" w:pos="5760"/>
        </w:tabs>
        <w:rPr>
          <w:rFonts w:ascii="Arial" w:eastAsia="Times New Roman" w:hAnsi="Arial" w:cs="Arial"/>
          <w:b/>
          <w:sz w:val="24"/>
          <w:szCs w:val="24"/>
        </w:rPr>
      </w:pPr>
    </w:p>
    <w:p w14:paraId="4F995CC3" w14:textId="77777777" w:rsidR="00815092" w:rsidRDefault="00815092" w:rsidP="0058356F">
      <w:pPr>
        <w:pStyle w:val="NoSpacing"/>
        <w:tabs>
          <w:tab w:val="left" w:pos="5760"/>
        </w:tabs>
        <w:rPr>
          <w:rFonts w:ascii="Arial" w:eastAsia="Times New Roman" w:hAnsi="Arial" w:cs="Arial"/>
          <w:b/>
          <w:sz w:val="24"/>
          <w:szCs w:val="24"/>
        </w:rPr>
      </w:pPr>
    </w:p>
    <w:p w14:paraId="49888486" w14:textId="6204DAC7" w:rsidR="0058356F" w:rsidRPr="00E40DDB" w:rsidRDefault="008E657F" w:rsidP="48CDFCFC">
      <w:pPr>
        <w:pStyle w:val="NoSpacing"/>
        <w:tabs>
          <w:tab w:val="left" w:pos="5040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48CDFCFC">
        <w:rPr>
          <w:rFonts w:ascii="Arial" w:eastAsia="Times New Roman" w:hAnsi="Arial" w:cs="Arial"/>
          <w:b/>
          <w:bCs/>
          <w:sz w:val="24"/>
          <w:szCs w:val="24"/>
        </w:rPr>
        <w:t xml:space="preserve">State Hotel </w:t>
      </w:r>
      <w:r w:rsidR="00A710C2" w:rsidRPr="48CDFCFC">
        <w:rPr>
          <w:rFonts w:ascii="Arial" w:eastAsia="Times New Roman" w:hAnsi="Arial" w:cs="Arial"/>
          <w:b/>
          <w:bCs/>
          <w:sz w:val="24"/>
          <w:szCs w:val="24"/>
        </w:rPr>
        <w:t>Occupancy Tax</w:t>
      </w:r>
      <w:r w:rsidR="2D702DF7" w:rsidRPr="48CDFCFC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</w:t>
      </w:r>
      <w:r w:rsidR="0058356F" w:rsidRPr="00815092">
        <w:rPr>
          <w:rFonts w:ascii="Arial" w:eastAsia="Times New Roman" w:hAnsi="Arial" w:cs="Arial"/>
          <w:b/>
          <w:sz w:val="24"/>
          <w:szCs w:val="24"/>
        </w:rPr>
        <w:tab/>
      </w:r>
      <w:r w:rsidR="0058356F" w:rsidRPr="48CDFCFC">
        <w:rPr>
          <w:rFonts w:ascii="Arial" w:eastAsia="Times New Roman" w:hAnsi="Arial" w:cs="Arial"/>
          <w:b/>
          <w:bCs/>
          <w:sz w:val="24"/>
          <w:szCs w:val="24"/>
        </w:rPr>
        <w:t>FSS/PPS No. 03.18</w:t>
      </w:r>
      <w:r w:rsidR="00733D1C" w:rsidRPr="48CDFC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550E0CC" w14:textId="6D3BF696" w:rsidR="0058356F" w:rsidRPr="00815092" w:rsidRDefault="0058356F" w:rsidP="00815092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815092">
        <w:rPr>
          <w:rFonts w:ascii="Arial" w:eastAsia="Times New Roman" w:hAnsi="Arial" w:cs="Arial"/>
          <w:b/>
          <w:sz w:val="24"/>
          <w:szCs w:val="24"/>
        </w:rPr>
        <w:t xml:space="preserve">Issue No. </w:t>
      </w:r>
      <w:r w:rsidR="00A972B7">
        <w:rPr>
          <w:rFonts w:ascii="Arial" w:eastAsia="Times New Roman" w:hAnsi="Arial" w:cs="Arial"/>
          <w:b/>
          <w:sz w:val="24"/>
          <w:szCs w:val="24"/>
        </w:rPr>
        <w:t>5</w:t>
      </w:r>
      <w:r w:rsidRPr="00815092">
        <w:rPr>
          <w:rFonts w:ascii="Arial" w:eastAsia="Times New Roman" w:hAnsi="Arial" w:cs="Arial"/>
          <w:b/>
          <w:sz w:val="24"/>
          <w:szCs w:val="24"/>
        </w:rPr>
        <w:tab/>
      </w:r>
    </w:p>
    <w:p w14:paraId="5ACCBCF6" w14:textId="1B181235" w:rsidR="0058356F" w:rsidRPr="00815092" w:rsidRDefault="0058356F" w:rsidP="00815092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815092">
        <w:rPr>
          <w:rFonts w:ascii="Arial" w:eastAsia="Times New Roman" w:hAnsi="Arial" w:cs="Arial"/>
          <w:b/>
          <w:sz w:val="24"/>
          <w:szCs w:val="24"/>
        </w:rPr>
        <w:t>Effective Date:</w:t>
      </w:r>
      <w:r w:rsidR="00A972B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2029A">
        <w:rPr>
          <w:rFonts w:ascii="Arial" w:eastAsia="Times New Roman" w:hAnsi="Arial" w:cs="Arial"/>
          <w:b/>
          <w:sz w:val="24"/>
          <w:szCs w:val="24"/>
        </w:rPr>
        <w:t>08</w:t>
      </w:r>
      <w:r w:rsidR="00A972B7">
        <w:rPr>
          <w:rFonts w:ascii="Arial" w:eastAsia="Times New Roman" w:hAnsi="Arial" w:cs="Arial"/>
          <w:b/>
          <w:sz w:val="24"/>
          <w:szCs w:val="24"/>
        </w:rPr>
        <w:t>/</w:t>
      </w:r>
      <w:r w:rsidR="006B6C92">
        <w:rPr>
          <w:rFonts w:ascii="Arial" w:eastAsia="Times New Roman" w:hAnsi="Arial" w:cs="Arial"/>
          <w:b/>
          <w:sz w:val="24"/>
          <w:szCs w:val="24"/>
        </w:rPr>
        <w:t>07</w:t>
      </w:r>
      <w:r w:rsidR="00A972B7">
        <w:rPr>
          <w:rFonts w:ascii="Arial" w:eastAsia="Times New Roman" w:hAnsi="Arial" w:cs="Arial"/>
          <w:b/>
          <w:sz w:val="24"/>
          <w:szCs w:val="24"/>
        </w:rPr>
        <w:t>/2020</w:t>
      </w:r>
      <w:r w:rsidRPr="00815092">
        <w:rPr>
          <w:rFonts w:ascii="Arial" w:eastAsia="Times New Roman" w:hAnsi="Arial" w:cs="Arial"/>
          <w:b/>
          <w:sz w:val="24"/>
          <w:szCs w:val="24"/>
        </w:rPr>
        <w:tab/>
      </w:r>
    </w:p>
    <w:p w14:paraId="7B7A14D0" w14:textId="68190178" w:rsidR="00095E96" w:rsidRPr="00815092" w:rsidRDefault="00095E96" w:rsidP="00815092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815092">
        <w:rPr>
          <w:rFonts w:ascii="Arial" w:eastAsia="Times New Roman" w:hAnsi="Arial" w:cs="Arial"/>
          <w:b/>
          <w:sz w:val="24"/>
          <w:szCs w:val="24"/>
        </w:rPr>
        <w:t>Next Review Date: 07/01/202</w:t>
      </w:r>
      <w:r w:rsidR="00A972B7">
        <w:rPr>
          <w:rFonts w:ascii="Arial" w:eastAsia="Times New Roman" w:hAnsi="Arial" w:cs="Arial"/>
          <w:b/>
          <w:sz w:val="24"/>
          <w:szCs w:val="24"/>
        </w:rPr>
        <w:t>4</w:t>
      </w:r>
      <w:r w:rsidR="00815092">
        <w:rPr>
          <w:rFonts w:ascii="Arial" w:eastAsia="Times New Roman" w:hAnsi="Arial" w:cs="Arial"/>
          <w:b/>
          <w:sz w:val="24"/>
          <w:szCs w:val="24"/>
        </w:rPr>
        <w:t xml:space="preserve"> (E4Y)</w:t>
      </w:r>
    </w:p>
    <w:p w14:paraId="157D5B89" w14:textId="77777777" w:rsidR="00A710C2" w:rsidRDefault="00815092" w:rsidP="00815092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Senior</w:t>
      </w:r>
      <w:r w:rsidR="004F2E84" w:rsidRPr="00815092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Reviewer: Associate Vice President for</w:t>
      </w:r>
      <w:r w:rsidR="0058356F" w:rsidRPr="00815092">
        <w:rPr>
          <w:rFonts w:ascii="Arial" w:eastAsia="Times New Roman" w:hAnsi="Arial" w:cs="Arial"/>
          <w:b/>
          <w:sz w:val="24"/>
          <w:szCs w:val="24"/>
        </w:rPr>
        <w:t xml:space="preserve"> Financial Services</w:t>
      </w:r>
    </w:p>
    <w:p w14:paraId="052D66DF" w14:textId="160DD7CD" w:rsidR="00815092" w:rsidRDefault="00815092" w:rsidP="00815092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2C1C85FA" w14:textId="77777777" w:rsidR="00304804" w:rsidRPr="00815092" w:rsidRDefault="00304804" w:rsidP="00815092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39D03328" w14:textId="3A264395" w:rsidR="00E54493" w:rsidRPr="00815092" w:rsidRDefault="00815092" w:rsidP="00A710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01.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A710C2" w:rsidRPr="00815092">
        <w:rPr>
          <w:rFonts w:ascii="Arial" w:eastAsia="Times New Roman" w:hAnsi="Arial" w:cs="Arial"/>
          <w:b/>
          <w:sz w:val="24"/>
          <w:szCs w:val="24"/>
        </w:rPr>
        <w:t>P</w:t>
      </w:r>
      <w:r w:rsidR="00304804">
        <w:rPr>
          <w:rFonts w:ascii="Arial" w:eastAsia="Times New Roman" w:hAnsi="Arial" w:cs="Arial"/>
          <w:b/>
          <w:sz w:val="24"/>
          <w:szCs w:val="24"/>
        </w:rPr>
        <w:t>OLICY STATEMENTS</w:t>
      </w:r>
    </w:p>
    <w:p w14:paraId="03475D93" w14:textId="124EA51C" w:rsidR="00A710C2" w:rsidRPr="00815092" w:rsidRDefault="00304804" w:rsidP="0081509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purpose of this </w:t>
      </w:r>
      <w:r w:rsidR="00F81DC3">
        <w:rPr>
          <w:rFonts w:ascii="Arial" w:eastAsia="Times New Roman" w:hAnsi="Arial" w:cs="Arial"/>
          <w:sz w:val="24"/>
          <w:szCs w:val="24"/>
        </w:rPr>
        <w:t>document</w:t>
      </w:r>
      <w:r>
        <w:rPr>
          <w:rFonts w:ascii="Arial" w:eastAsia="Times New Roman" w:hAnsi="Arial" w:cs="Arial"/>
          <w:sz w:val="24"/>
          <w:szCs w:val="24"/>
        </w:rPr>
        <w:t xml:space="preserve"> is to</w:t>
      </w:r>
      <w:r w:rsidR="00A710C2" w:rsidRPr="00815092">
        <w:rPr>
          <w:rFonts w:ascii="Arial" w:eastAsia="Times New Roman" w:hAnsi="Arial" w:cs="Arial"/>
          <w:sz w:val="24"/>
          <w:szCs w:val="24"/>
        </w:rPr>
        <w:t xml:space="preserve"> establish responsibility and policy regarding payment of state, city, and county hotel occupancy taxes</w:t>
      </w:r>
      <w:r w:rsidR="006F61E5" w:rsidRPr="00815092">
        <w:rPr>
          <w:rFonts w:ascii="Arial" w:eastAsia="Times New Roman" w:hAnsi="Arial" w:cs="Arial"/>
          <w:sz w:val="24"/>
          <w:szCs w:val="24"/>
        </w:rPr>
        <w:t xml:space="preserve"> by university </w:t>
      </w:r>
      <w:r w:rsidR="005A77F0" w:rsidRPr="00815092">
        <w:rPr>
          <w:rFonts w:ascii="Arial" w:eastAsia="Times New Roman" w:hAnsi="Arial" w:cs="Arial"/>
          <w:sz w:val="24"/>
          <w:szCs w:val="24"/>
        </w:rPr>
        <w:t>employees</w:t>
      </w:r>
      <w:r w:rsidR="00A710C2" w:rsidRPr="00815092">
        <w:rPr>
          <w:rFonts w:ascii="Arial" w:eastAsia="Times New Roman" w:hAnsi="Arial" w:cs="Arial"/>
          <w:sz w:val="24"/>
          <w:szCs w:val="24"/>
        </w:rPr>
        <w:t>.</w:t>
      </w:r>
    </w:p>
    <w:p w14:paraId="63DD9449" w14:textId="77777777" w:rsidR="006F61E5" w:rsidRPr="00815092" w:rsidRDefault="006F61E5" w:rsidP="00815092">
      <w:pPr>
        <w:pStyle w:val="ListParagraph"/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939E297" w14:textId="0C0BB515" w:rsidR="00A710C2" w:rsidRPr="00415C7A" w:rsidRDefault="00304804" w:rsidP="00A710C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F81DC3">
        <w:rPr>
          <w:rFonts w:ascii="Arial" w:eastAsia="Times New Roman" w:hAnsi="Arial" w:cs="Arial"/>
          <w:sz w:val="24"/>
          <w:szCs w:val="24"/>
        </w:rPr>
        <w:t>document</w:t>
      </w:r>
      <w:r>
        <w:rPr>
          <w:rFonts w:ascii="Arial" w:eastAsia="Times New Roman" w:hAnsi="Arial" w:cs="Arial"/>
          <w:sz w:val="24"/>
          <w:szCs w:val="24"/>
        </w:rPr>
        <w:t xml:space="preserve"> also</w:t>
      </w:r>
      <w:r w:rsidR="006A4564" w:rsidRPr="00815092">
        <w:rPr>
          <w:rFonts w:ascii="Arial" w:eastAsia="Times New Roman" w:hAnsi="Arial" w:cs="Arial"/>
          <w:sz w:val="24"/>
          <w:szCs w:val="24"/>
        </w:rPr>
        <w:t xml:space="preserve"> ensu</w:t>
      </w:r>
      <w:r w:rsidR="00A710C2" w:rsidRPr="00815092">
        <w:rPr>
          <w:rFonts w:ascii="Arial" w:eastAsia="Times New Roman" w:hAnsi="Arial" w:cs="Arial"/>
          <w:sz w:val="24"/>
          <w:szCs w:val="24"/>
        </w:rPr>
        <w:t>re</w:t>
      </w:r>
      <w:r>
        <w:rPr>
          <w:rFonts w:ascii="Arial" w:eastAsia="Times New Roman" w:hAnsi="Arial" w:cs="Arial"/>
          <w:sz w:val="24"/>
          <w:szCs w:val="24"/>
        </w:rPr>
        <w:t>s</w:t>
      </w:r>
      <w:r w:rsidR="00A710C2" w:rsidRPr="00815092">
        <w:rPr>
          <w:rFonts w:ascii="Arial" w:eastAsia="Times New Roman" w:hAnsi="Arial" w:cs="Arial"/>
          <w:sz w:val="24"/>
          <w:szCs w:val="24"/>
        </w:rPr>
        <w:t xml:space="preserve"> that policy conforms to </w:t>
      </w:r>
      <w:r w:rsidR="006F61E5" w:rsidRPr="00815092">
        <w:rPr>
          <w:rFonts w:ascii="Arial" w:eastAsia="Times New Roman" w:hAnsi="Arial" w:cs="Arial"/>
          <w:sz w:val="24"/>
          <w:szCs w:val="24"/>
        </w:rPr>
        <w:t xml:space="preserve">the laws of the </w:t>
      </w:r>
      <w:r>
        <w:rPr>
          <w:rFonts w:ascii="Arial" w:eastAsia="Times New Roman" w:hAnsi="Arial" w:cs="Arial"/>
          <w:sz w:val="24"/>
          <w:szCs w:val="24"/>
        </w:rPr>
        <w:t>s</w:t>
      </w:r>
      <w:r w:rsidR="006F61E5" w:rsidRPr="00815092">
        <w:rPr>
          <w:rFonts w:ascii="Arial" w:eastAsia="Times New Roman" w:hAnsi="Arial" w:cs="Arial"/>
          <w:sz w:val="24"/>
          <w:szCs w:val="24"/>
        </w:rPr>
        <w:t>tate of Texas</w:t>
      </w:r>
      <w:r w:rsidR="00A710C2" w:rsidRPr="00815092">
        <w:rPr>
          <w:rFonts w:ascii="Arial" w:eastAsia="Times New Roman" w:hAnsi="Arial" w:cs="Arial"/>
          <w:sz w:val="24"/>
          <w:szCs w:val="24"/>
        </w:rPr>
        <w:t>.</w:t>
      </w:r>
    </w:p>
    <w:p w14:paraId="6CB6ABB2" w14:textId="0277544F" w:rsidR="00A710C2" w:rsidRDefault="00A710C2" w:rsidP="00815092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15092">
        <w:rPr>
          <w:rFonts w:ascii="Arial" w:eastAsia="Times New Roman" w:hAnsi="Arial" w:cs="Arial"/>
          <w:sz w:val="24"/>
          <w:szCs w:val="24"/>
        </w:rPr>
        <w:t>0</w:t>
      </w:r>
      <w:r w:rsidR="00415C7A">
        <w:rPr>
          <w:rFonts w:ascii="Arial" w:eastAsia="Times New Roman" w:hAnsi="Arial" w:cs="Arial"/>
          <w:sz w:val="24"/>
          <w:szCs w:val="24"/>
        </w:rPr>
        <w:t>1</w:t>
      </w:r>
      <w:r w:rsidRPr="00815092">
        <w:rPr>
          <w:rFonts w:ascii="Arial" w:eastAsia="Times New Roman" w:hAnsi="Arial" w:cs="Arial"/>
          <w:sz w:val="24"/>
          <w:szCs w:val="24"/>
        </w:rPr>
        <w:t>.0</w:t>
      </w:r>
      <w:r w:rsidR="00415C7A">
        <w:rPr>
          <w:rFonts w:ascii="Arial" w:eastAsia="Times New Roman" w:hAnsi="Arial" w:cs="Arial"/>
          <w:sz w:val="24"/>
          <w:szCs w:val="24"/>
        </w:rPr>
        <w:t>3</w:t>
      </w:r>
      <w:r w:rsidRPr="00815092">
        <w:rPr>
          <w:rFonts w:ascii="Arial" w:eastAsia="Times New Roman" w:hAnsi="Arial" w:cs="Arial"/>
          <w:sz w:val="24"/>
          <w:szCs w:val="24"/>
        </w:rPr>
        <w:t xml:space="preserve"> </w:t>
      </w:r>
      <w:r w:rsidR="005E5215" w:rsidRPr="00815092">
        <w:rPr>
          <w:rFonts w:ascii="Arial" w:eastAsia="Times New Roman" w:hAnsi="Arial" w:cs="Arial"/>
          <w:sz w:val="24"/>
          <w:szCs w:val="24"/>
        </w:rPr>
        <w:tab/>
      </w:r>
      <w:r w:rsidR="00304804">
        <w:rPr>
          <w:rFonts w:ascii="Arial" w:eastAsia="Times New Roman" w:hAnsi="Arial" w:cs="Arial"/>
          <w:sz w:val="24"/>
          <w:szCs w:val="24"/>
        </w:rPr>
        <w:t>State of Texas</w:t>
      </w:r>
      <w:r w:rsidRPr="00815092">
        <w:rPr>
          <w:rFonts w:ascii="Arial" w:eastAsia="Times New Roman" w:hAnsi="Arial" w:cs="Arial"/>
          <w:sz w:val="24"/>
          <w:szCs w:val="24"/>
        </w:rPr>
        <w:t xml:space="preserve"> agencies, including institutions of higher education, are exempt from paying state hotel occupancy tax (</w:t>
      </w:r>
      <w:hyperlink r:id="rId8" w:history="1">
        <w:r w:rsidRPr="00415C7A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Tax Code Sec</w:t>
        </w:r>
        <w:r w:rsidR="00F81DC3" w:rsidRPr="00415C7A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tion</w:t>
        </w:r>
        <w:r w:rsidRPr="00415C7A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 xml:space="preserve"> 156.102</w:t>
        </w:r>
      </w:hyperlink>
      <w:r w:rsidRPr="00815092">
        <w:rPr>
          <w:rFonts w:ascii="Arial" w:eastAsia="Times New Roman" w:hAnsi="Arial" w:cs="Arial"/>
          <w:sz w:val="24"/>
          <w:szCs w:val="24"/>
        </w:rPr>
        <w:t>)</w:t>
      </w:r>
      <w:r w:rsidR="00421D76" w:rsidRPr="00815092">
        <w:rPr>
          <w:rFonts w:ascii="Arial" w:eastAsia="Times New Roman" w:hAnsi="Arial" w:cs="Arial"/>
          <w:sz w:val="24"/>
          <w:szCs w:val="24"/>
        </w:rPr>
        <w:t>.</w:t>
      </w:r>
      <w:r w:rsidRPr="00815092">
        <w:rPr>
          <w:rFonts w:ascii="Arial" w:eastAsia="Times New Roman" w:hAnsi="Arial" w:cs="Arial"/>
          <w:sz w:val="24"/>
          <w:szCs w:val="24"/>
        </w:rPr>
        <w:t xml:space="preserve"> However, educational organizations are required to pay city and county hotel occupancy taxes.</w:t>
      </w:r>
    </w:p>
    <w:p w14:paraId="36EA0901" w14:textId="03E87E6A" w:rsidR="00415C7A" w:rsidRPr="00415C7A" w:rsidRDefault="00415C7A" w:rsidP="00415C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15C7A">
        <w:rPr>
          <w:rFonts w:ascii="Arial" w:eastAsia="Times New Roman" w:hAnsi="Arial" w:cs="Arial"/>
          <w:b/>
          <w:bCs/>
          <w:sz w:val="24"/>
          <w:szCs w:val="24"/>
        </w:rPr>
        <w:t>02.</w:t>
      </w:r>
      <w:r w:rsidRPr="00415C7A">
        <w:rPr>
          <w:rFonts w:ascii="Arial" w:eastAsia="Times New Roman" w:hAnsi="Arial" w:cs="Arial"/>
          <w:b/>
          <w:bCs/>
          <w:sz w:val="24"/>
          <w:szCs w:val="24"/>
        </w:rPr>
        <w:tab/>
        <w:t>GUIDELINES</w:t>
      </w:r>
    </w:p>
    <w:p w14:paraId="36E5BAA2" w14:textId="1DC2F9E6" w:rsidR="005A77F0" w:rsidRPr="00815092" w:rsidRDefault="00415C7A" w:rsidP="00415C7A">
      <w:pPr>
        <w:spacing w:before="100" w:beforeAutospacing="1" w:after="100" w:afterAutospacing="1" w:line="240" w:lineRule="auto"/>
        <w:ind w:left="1440" w:hanging="720"/>
        <w:rPr>
          <w:rFonts w:ascii="Arial" w:hAnsi="Arial" w:cs="Arial"/>
          <w:color w:val="17365D" w:themeColor="text2" w:themeShade="BF"/>
        </w:rPr>
      </w:pPr>
      <w:r>
        <w:rPr>
          <w:rFonts w:ascii="Arial" w:eastAsia="Times New Roman" w:hAnsi="Arial" w:cs="Arial"/>
          <w:sz w:val="24"/>
          <w:szCs w:val="24"/>
        </w:rPr>
        <w:t>02.01</w:t>
      </w:r>
      <w:r>
        <w:rPr>
          <w:rFonts w:ascii="Arial" w:eastAsia="Times New Roman" w:hAnsi="Arial" w:cs="Arial"/>
          <w:sz w:val="24"/>
          <w:szCs w:val="24"/>
        </w:rPr>
        <w:tab/>
      </w:r>
      <w:r w:rsidR="00B4125F">
        <w:rPr>
          <w:rFonts w:ascii="Arial" w:eastAsia="Times New Roman" w:hAnsi="Arial" w:cs="Arial"/>
          <w:sz w:val="24"/>
          <w:szCs w:val="24"/>
        </w:rPr>
        <w:t>T</w:t>
      </w:r>
      <w:r w:rsidR="00A710C2" w:rsidRPr="00815092">
        <w:rPr>
          <w:rFonts w:ascii="Arial" w:eastAsia="Times New Roman" w:hAnsi="Arial" w:cs="Arial"/>
          <w:sz w:val="24"/>
          <w:szCs w:val="24"/>
        </w:rPr>
        <w:t xml:space="preserve">o qualify for exemption, the employee must be traveling on </w:t>
      </w:r>
      <w:r w:rsidR="005A77F0" w:rsidRPr="00815092">
        <w:rPr>
          <w:rFonts w:ascii="Arial" w:eastAsia="Times New Roman" w:hAnsi="Arial" w:cs="Arial"/>
          <w:sz w:val="24"/>
          <w:szCs w:val="24"/>
        </w:rPr>
        <w:t>s</w:t>
      </w:r>
      <w:r w:rsidR="00A710C2" w:rsidRPr="00815092">
        <w:rPr>
          <w:rFonts w:ascii="Arial" w:eastAsia="Times New Roman" w:hAnsi="Arial" w:cs="Arial"/>
          <w:sz w:val="24"/>
          <w:szCs w:val="24"/>
        </w:rPr>
        <w:t xml:space="preserve">tate business. An employee traveling for personal reasons is not exempt from hotel occupancy tax. </w:t>
      </w:r>
      <w:r w:rsidR="00220BD9">
        <w:rPr>
          <w:rFonts w:ascii="Arial" w:eastAsia="Times New Roman" w:hAnsi="Arial" w:cs="Arial"/>
          <w:sz w:val="24"/>
          <w:szCs w:val="24"/>
        </w:rPr>
        <w:t>T</w:t>
      </w:r>
      <w:r w:rsidR="00A710C2" w:rsidRPr="00815092">
        <w:rPr>
          <w:rFonts w:ascii="Arial" w:eastAsia="Times New Roman" w:hAnsi="Arial" w:cs="Arial"/>
          <w:sz w:val="24"/>
          <w:szCs w:val="24"/>
        </w:rPr>
        <w:t xml:space="preserve">o claim the exemption, the employee must present a </w:t>
      </w:r>
      <w:hyperlink r:id="rId9" w:history="1">
        <w:r w:rsidR="00A710C2" w:rsidRPr="00415C7A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Texas Hotel Tax Exemption Certificate (Form 12-302)</w:t>
        </w:r>
      </w:hyperlink>
      <w:r w:rsidR="00A710C2" w:rsidRPr="00815092">
        <w:rPr>
          <w:rFonts w:ascii="Arial" w:eastAsia="Times New Roman" w:hAnsi="Arial" w:cs="Arial"/>
          <w:sz w:val="24"/>
          <w:szCs w:val="24"/>
        </w:rPr>
        <w:t xml:space="preserve"> to the hotel at the time of registration. The form </w:t>
      </w:r>
      <w:r w:rsidR="005A77F0" w:rsidRPr="00815092">
        <w:rPr>
          <w:rFonts w:ascii="Arial" w:eastAsia="Times New Roman" w:hAnsi="Arial" w:cs="Arial"/>
          <w:sz w:val="24"/>
          <w:szCs w:val="24"/>
        </w:rPr>
        <w:t>is located on</w:t>
      </w:r>
      <w:r w:rsidR="00A710C2" w:rsidRPr="00815092">
        <w:rPr>
          <w:rFonts w:ascii="Arial" w:eastAsia="Times New Roman" w:hAnsi="Arial" w:cs="Arial"/>
          <w:sz w:val="24"/>
          <w:szCs w:val="24"/>
        </w:rPr>
        <w:t xml:space="preserve"> the</w:t>
      </w:r>
      <w:r w:rsidR="005A77F0" w:rsidRPr="00815092">
        <w:rPr>
          <w:rFonts w:ascii="Arial" w:eastAsia="Times New Roman" w:hAnsi="Arial" w:cs="Arial"/>
          <w:sz w:val="24"/>
          <w:szCs w:val="24"/>
        </w:rPr>
        <w:t xml:space="preserve"> university's</w:t>
      </w:r>
      <w:r w:rsidR="19B30875" w:rsidRPr="308EEB3B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history="1">
        <w:r w:rsidR="732A66AB" w:rsidRPr="006A7566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 xml:space="preserve">Payroll and Tax Compliance office </w:t>
        </w:r>
        <w:r w:rsidR="732A66AB" w:rsidRPr="00415C7A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webpage</w:t>
        </w:r>
      </w:hyperlink>
      <w:r w:rsidR="2A7A66B1" w:rsidRPr="308EEB3B">
        <w:rPr>
          <w:rFonts w:ascii="Arial" w:eastAsia="Times New Roman" w:hAnsi="Arial" w:cs="Arial"/>
          <w:sz w:val="24"/>
          <w:szCs w:val="24"/>
        </w:rPr>
        <w:t xml:space="preserve">, </w:t>
      </w:r>
      <w:r w:rsidR="28746D1E" w:rsidRPr="308EEB3B">
        <w:rPr>
          <w:rFonts w:ascii="Arial" w:eastAsia="Times New Roman" w:hAnsi="Arial" w:cs="Arial"/>
          <w:sz w:val="24"/>
          <w:szCs w:val="24"/>
        </w:rPr>
        <w:t xml:space="preserve">or </w:t>
      </w:r>
      <w:r w:rsidR="2A7A66B1" w:rsidRPr="308EEB3B">
        <w:rPr>
          <w:rFonts w:ascii="Arial" w:eastAsia="Times New Roman" w:hAnsi="Arial" w:cs="Arial"/>
          <w:sz w:val="24"/>
          <w:szCs w:val="24"/>
        </w:rPr>
        <w:t xml:space="preserve">the </w:t>
      </w:r>
      <w:hyperlink r:id="rId11">
        <w:r w:rsidR="2A7A66B1" w:rsidRPr="00415C7A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State of Texas Comptroller's website</w:t>
        </w:r>
      </w:hyperlink>
      <w:r w:rsidR="1FF96BAB" w:rsidRPr="308EEB3B">
        <w:rPr>
          <w:rFonts w:ascii="Arial" w:eastAsia="Times New Roman" w:hAnsi="Arial" w:cs="Arial"/>
          <w:sz w:val="24"/>
          <w:szCs w:val="24"/>
        </w:rPr>
        <w:t>.</w:t>
      </w:r>
      <w:r w:rsidR="2F1EAEEB" w:rsidRPr="308EEB3B">
        <w:rPr>
          <w:rFonts w:ascii="Arial" w:hAnsi="Arial" w:cs="Arial"/>
          <w:color w:val="17365D" w:themeColor="text2" w:themeShade="BF"/>
        </w:rPr>
        <w:t xml:space="preserve"> </w:t>
      </w:r>
    </w:p>
    <w:p w14:paraId="2635B324" w14:textId="78464294" w:rsidR="00A710C2" w:rsidRPr="00815092" w:rsidRDefault="00415C7A" w:rsidP="00415C7A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02.02</w:t>
      </w:r>
      <w:r>
        <w:rPr>
          <w:rFonts w:ascii="Arial" w:eastAsia="Times New Roman" w:hAnsi="Arial" w:cs="Arial"/>
          <w:sz w:val="24"/>
          <w:szCs w:val="24"/>
        </w:rPr>
        <w:tab/>
      </w:r>
      <w:r w:rsidR="00A710C2" w:rsidRPr="00815092">
        <w:rPr>
          <w:rFonts w:ascii="Arial" w:eastAsia="Times New Roman" w:hAnsi="Arial" w:cs="Arial"/>
          <w:sz w:val="24"/>
          <w:szCs w:val="24"/>
        </w:rPr>
        <w:t xml:space="preserve">The hotel operator </w:t>
      </w:r>
      <w:r w:rsidR="003F79B0">
        <w:rPr>
          <w:rFonts w:ascii="Arial" w:eastAsia="Times New Roman" w:hAnsi="Arial" w:cs="Arial"/>
          <w:sz w:val="24"/>
          <w:szCs w:val="24"/>
        </w:rPr>
        <w:t xml:space="preserve">has </w:t>
      </w:r>
      <w:r w:rsidR="00A710C2" w:rsidRPr="00815092">
        <w:rPr>
          <w:rFonts w:ascii="Arial" w:eastAsia="Times New Roman" w:hAnsi="Arial" w:cs="Arial"/>
          <w:sz w:val="24"/>
          <w:szCs w:val="24"/>
        </w:rPr>
        <w:t>the right to request a government identification card, business card</w:t>
      </w:r>
      <w:r w:rsidR="00F81DC3">
        <w:rPr>
          <w:rFonts w:ascii="Arial" w:eastAsia="Times New Roman" w:hAnsi="Arial" w:cs="Arial"/>
          <w:sz w:val="24"/>
          <w:szCs w:val="24"/>
        </w:rPr>
        <w:t>,</w:t>
      </w:r>
      <w:r w:rsidR="00A710C2" w:rsidRPr="00815092">
        <w:rPr>
          <w:rFonts w:ascii="Arial" w:eastAsia="Times New Roman" w:hAnsi="Arial" w:cs="Arial"/>
          <w:sz w:val="24"/>
          <w:szCs w:val="24"/>
        </w:rPr>
        <w:t xml:space="preserve"> or other form of identification to verify the exemption claimed. Therefore, </w:t>
      </w:r>
      <w:r>
        <w:rPr>
          <w:rFonts w:ascii="Arial" w:eastAsia="Times New Roman" w:hAnsi="Arial" w:cs="Arial"/>
          <w:sz w:val="24"/>
          <w:szCs w:val="24"/>
        </w:rPr>
        <w:t>it is recommended that</w:t>
      </w:r>
      <w:r w:rsidR="00A710C2" w:rsidRPr="00815092">
        <w:rPr>
          <w:rFonts w:ascii="Arial" w:eastAsia="Times New Roman" w:hAnsi="Arial" w:cs="Arial"/>
          <w:sz w:val="24"/>
          <w:szCs w:val="24"/>
        </w:rPr>
        <w:t xml:space="preserve"> Texas State faculty or staff member</w:t>
      </w:r>
      <w:r>
        <w:rPr>
          <w:rFonts w:ascii="Arial" w:eastAsia="Times New Roman" w:hAnsi="Arial" w:cs="Arial"/>
          <w:sz w:val="24"/>
          <w:szCs w:val="24"/>
        </w:rPr>
        <w:t>s</w:t>
      </w:r>
      <w:r w:rsidR="00A710C2" w:rsidRPr="00815092">
        <w:rPr>
          <w:rFonts w:ascii="Arial" w:eastAsia="Times New Roman" w:hAnsi="Arial" w:cs="Arial"/>
          <w:sz w:val="24"/>
          <w:szCs w:val="24"/>
        </w:rPr>
        <w:t xml:space="preserve"> travel with </w:t>
      </w:r>
      <w:r>
        <w:rPr>
          <w:rFonts w:ascii="Arial" w:eastAsia="Times New Roman" w:hAnsi="Arial" w:cs="Arial"/>
          <w:sz w:val="24"/>
          <w:szCs w:val="24"/>
        </w:rPr>
        <w:t>thei</w:t>
      </w:r>
      <w:r w:rsidR="00A710C2" w:rsidRPr="00815092">
        <w:rPr>
          <w:rFonts w:ascii="Arial" w:eastAsia="Times New Roman" w:hAnsi="Arial" w:cs="Arial"/>
          <w:sz w:val="24"/>
          <w:szCs w:val="24"/>
        </w:rPr>
        <w:t>r Texas State identification card.</w:t>
      </w:r>
    </w:p>
    <w:p w14:paraId="75264132" w14:textId="7D06631B" w:rsidR="00A710C2" w:rsidRPr="00815092" w:rsidRDefault="00415C7A" w:rsidP="00415C7A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02.03</w:t>
      </w:r>
      <w:r>
        <w:rPr>
          <w:rFonts w:ascii="Arial" w:eastAsia="Times New Roman" w:hAnsi="Arial" w:cs="Arial"/>
          <w:sz w:val="24"/>
          <w:szCs w:val="24"/>
        </w:rPr>
        <w:tab/>
      </w:r>
      <w:r w:rsidR="00A710C2" w:rsidRPr="00815092">
        <w:rPr>
          <w:rFonts w:ascii="Arial" w:eastAsia="Times New Roman" w:hAnsi="Arial" w:cs="Arial"/>
          <w:sz w:val="24"/>
          <w:szCs w:val="24"/>
        </w:rPr>
        <w:t>As an educational organization, Texas State is prohibited from reimbursing</w:t>
      </w:r>
      <w:r>
        <w:rPr>
          <w:rFonts w:ascii="Arial" w:eastAsia="Times New Roman" w:hAnsi="Arial" w:cs="Arial"/>
          <w:sz w:val="24"/>
          <w:szCs w:val="24"/>
        </w:rPr>
        <w:t xml:space="preserve"> the</w:t>
      </w:r>
      <w:r w:rsidR="005A77F0" w:rsidRPr="00815092">
        <w:rPr>
          <w:rFonts w:ascii="Arial" w:eastAsia="Times New Roman" w:hAnsi="Arial" w:cs="Arial"/>
          <w:sz w:val="24"/>
          <w:szCs w:val="24"/>
        </w:rPr>
        <w:t xml:space="preserve"> hotel occupancy tax </w:t>
      </w:r>
      <w:r>
        <w:rPr>
          <w:rFonts w:ascii="Arial" w:eastAsia="Times New Roman" w:hAnsi="Arial" w:cs="Arial"/>
          <w:sz w:val="24"/>
          <w:szCs w:val="24"/>
        </w:rPr>
        <w:t xml:space="preserve">for an employee </w:t>
      </w:r>
      <w:r w:rsidR="00A710C2" w:rsidRPr="00815092">
        <w:rPr>
          <w:rFonts w:ascii="Arial" w:eastAsia="Times New Roman" w:hAnsi="Arial" w:cs="Arial"/>
          <w:sz w:val="24"/>
          <w:szCs w:val="24"/>
        </w:rPr>
        <w:t>who fails to present a properly completed exemption certificate.</w:t>
      </w:r>
    </w:p>
    <w:p w14:paraId="57A00230" w14:textId="4227E3A1" w:rsidR="008E657F" w:rsidRPr="00815092" w:rsidRDefault="00A710C2" w:rsidP="00815092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15092">
        <w:rPr>
          <w:rFonts w:ascii="Arial" w:eastAsia="Times New Roman" w:hAnsi="Arial" w:cs="Arial"/>
          <w:sz w:val="24"/>
          <w:szCs w:val="24"/>
        </w:rPr>
        <w:t xml:space="preserve">If an employee presents a properly completed exemption certificate to a commercial lodging establishment and the establishment refuses to honor </w:t>
      </w:r>
      <w:r w:rsidRPr="00815092">
        <w:rPr>
          <w:rFonts w:ascii="Arial" w:eastAsia="Times New Roman" w:hAnsi="Arial" w:cs="Arial"/>
          <w:sz w:val="24"/>
          <w:szCs w:val="24"/>
        </w:rPr>
        <w:lastRenderedPageBreak/>
        <w:t xml:space="preserve">the certificate, Texas State will reimburse the employee all hotel occupancy taxes charged by the establishment. The employee must attach to </w:t>
      </w:r>
      <w:r w:rsidR="00F81DC3">
        <w:rPr>
          <w:rFonts w:ascii="Arial" w:eastAsia="Times New Roman" w:hAnsi="Arial" w:cs="Arial"/>
          <w:sz w:val="24"/>
          <w:szCs w:val="24"/>
        </w:rPr>
        <w:t>their</w:t>
      </w:r>
      <w:r w:rsidRPr="00815092">
        <w:rPr>
          <w:rFonts w:ascii="Arial" w:eastAsia="Times New Roman" w:hAnsi="Arial" w:cs="Arial"/>
          <w:sz w:val="24"/>
          <w:szCs w:val="24"/>
        </w:rPr>
        <w:t xml:space="preserve"> travel voucher a signed statement </w:t>
      </w:r>
      <w:r w:rsidR="00421D76" w:rsidRPr="00815092">
        <w:rPr>
          <w:rFonts w:ascii="Arial" w:eastAsia="Times New Roman" w:hAnsi="Arial" w:cs="Arial"/>
          <w:sz w:val="24"/>
          <w:szCs w:val="24"/>
        </w:rPr>
        <w:t xml:space="preserve">to </w:t>
      </w:r>
      <w:r w:rsidRPr="00815092">
        <w:rPr>
          <w:rFonts w:ascii="Arial" w:eastAsia="Times New Roman" w:hAnsi="Arial" w:cs="Arial"/>
          <w:sz w:val="24"/>
          <w:szCs w:val="24"/>
        </w:rPr>
        <w:t xml:space="preserve">document the hotel's refusal to accept the Exemption Certificate. </w:t>
      </w:r>
      <w:r w:rsidR="00421D76" w:rsidRPr="00815092">
        <w:rPr>
          <w:rFonts w:ascii="Arial" w:eastAsia="Times New Roman" w:hAnsi="Arial" w:cs="Arial"/>
          <w:sz w:val="24"/>
          <w:szCs w:val="24"/>
        </w:rPr>
        <w:t xml:space="preserve">Payment </w:t>
      </w:r>
      <w:r w:rsidR="00C848FE">
        <w:rPr>
          <w:rFonts w:ascii="Arial" w:eastAsia="Times New Roman" w:hAnsi="Arial" w:cs="Arial"/>
          <w:sz w:val="24"/>
          <w:szCs w:val="24"/>
        </w:rPr>
        <w:t xml:space="preserve">for this tax </w:t>
      </w:r>
      <w:r w:rsidR="00421D76" w:rsidRPr="00815092">
        <w:rPr>
          <w:rFonts w:ascii="Arial" w:eastAsia="Times New Roman" w:hAnsi="Arial" w:cs="Arial"/>
          <w:sz w:val="24"/>
          <w:szCs w:val="24"/>
        </w:rPr>
        <w:t>may not be made from state funds.</w:t>
      </w:r>
    </w:p>
    <w:p w14:paraId="3080E25A" w14:textId="7F46D931" w:rsidR="00A710C2" w:rsidRPr="00815092" w:rsidRDefault="00A710C2" w:rsidP="00815092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15092">
        <w:rPr>
          <w:rFonts w:ascii="Arial" w:eastAsia="Times New Roman" w:hAnsi="Arial" w:cs="Arial"/>
          <w:sz w:val="24"/>
          <w:szCs w:val="24"/>
        </w:rPr>
        <w:t xml:space="preserve">The Travel </w:t>
      </w:r>
      <w:r w:rsidR="008E657F" w:rsidRPr="00815092">
        <w:rPr>
          <w:rFonts w:ascii="Arial" w:eastAsia="Times New Roman" w:hAnsi="Arial" w:cs="Arial"/>
          <w:sz w:val="24"/>
          <w:szCs w:val="24"/>
        </w:rPr>
        <w:t>Office</w:t>
      </w:r>
      <w:r w:rsidRPr="00815092">
        <w:rPr>
          <w:rFonts w:ascii="Arial" w:eastAsia="Times New Roman" w:hAnsi="Arial" w:cs="Arial"/>
          <w:sz w:val="24"/>
          <w:szCs w:val="24"/>
        </w:rPr>
        <w:t xml:space="preserve"> will then provide the State Comptroller's </w:t>
      </w:r>
      <w:r w:rsidR="00C848FE">
        <w:rPr>
          <w:rFonts w:ascii="Arial" w:eastAsia="Times New Roman" w:hAnsi="Arial" w:cs="Arial"/>
          <w:sz w:val="24"/>
          <w:szCs w:val="24"/>
        </w:rPr>
        <w:t>O</w:t>
      </w:r>
      <w:r w:rsidR="00C848FE" w:rsidRPr="00815092">
        <w:rPr>
          <w:rFonts w:ascii="Arial" w:eastAsia="Times New Roman" w:hAnsi="Arial" w:cs="Arial"/>
          <w:sz w:val="24"/>
          <w:szCs w:val="24"/>
        </w:rPr>
        <w:t xml:space="preserve">ffice </w:t>
      </w:r>
      <w:r w:rsidRPr="00815092">
        <w:rPr>
          <w:rFonts w:ascii="Arial" w:eastAsia="Times New Roman" w:hAnsi="Arial" w:cs="Arial"/>
          <w:sz w:val="24"/>
          <w:szCs w:val="24"/>
        </w:rPr>
        <w:t>with the name of each establishment within Texas refusing to honor a properly completed and presented exemption certificate.</w:t>
      </w:r>
    </w:p>
    <w:p w14:paraId="5B785449" w14:textId="60E97AD4" w:rsidR="00A710C2" w:rsidRPr="00815092" w:rsidRDefault="00A710C2" w:rsidP="00415C7A">
      <w:pPr>
        <w:tabs>
          <w:tab w:val="left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5092">
        <w:rPr>
          <w:rFonts w:ascii="Arial" w:eastAsia="Times New Roman" w:hAnsi="Arial" w:cs="Arial"/>
          <w:b/>
          <w:sz w:val="24"/>
          <w:szCs w:val="24"/>
        </w:rPr>
        <w:t>0</w:t>
      </w:r>
      <w:r w:rsidR="00415C7A">
        <w:rPr>
          <w:rFonts w:ascii="Arial" w:eastAsia="Times New Roman" w:hAnsi="Arial" w:cs="Arial"/>
          <w:b/>
          <w:sz w:val="24"/>
          <w:szCs w:val="24"/>
        </w:rPr>
        <w:t>3</w:t>
      </w:r>
      <w:r w:rsidRPr="00815092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78278C" w:rsidRPr="00815092">
        <w:rPr>
          <w:rFonts w:ascii="Arial" w:eastAsia="Times New Roman" w:hAnsi="Arial" w:cs="Arial"/>
          <w:b/>
          <w:sz w:val="24"/>
          <w:szCs w:val="24"/>
        </w:rPr>
        <w:tab/>
      </w:r>
      <w:r w:rsidR="00815092">
        <w:rPr>
          <w:rFonts w:ascii="Arial" w:eastAsia="Times New Roman" w:hAnsi="Arial" w:cs="Arial"/>
          <w:b/>
          <w:sz w:val="24"/>
          <w:szCs w:val="24"/>
        </w:rPr>
        <w:t>REVIEWERS OF T</w:t>
      </w:r>
      <w:r w:rsidRPr="00815092">
        <w:rPr>
          <w:rFonts w:ascii="Arial" w:eastAsia="Times New Roman" w:hAnsi="Arial" w:cs="Arial"/>
          <w:b/>
          <w:sz w:val="24"/>
          <w:szCs w:val="24"/>
        </w:rPr>
        <w:t>HIS PPS</w:t>
      </w:r>
    </w:p>
    <w:p w14:paraId="32465A33" w14:textId="2B38A19D" w:rsidR="00A710C2" w:rsidRPr="00815092" w:rsidRDefault="00815092" w:rsidP="00815092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8D0C3A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.01</w:t>
      </w:r>
      <w:r>
        <w:rPr>
          <w:rFonts w:ascii="Arial" w:eastAsia="Times New Roman" w:hAnsi="Arial" w:cs="Arial"/>
          <w:sz w:val="24"/>
          <w:szCs w:val="24"/>
        </w:rPr>
        <w:tab/>
        <w:t xml:space="preserve">Reviewers of </w:t>
      </w:r>
      <w:r w:rsidR="00A710C2" w:rsidRPr="00815092">
        <w:rPr>
          <w:rFonts w:ascii="Arial" w:eastAsia="Times New Roman" w:hAnsi="Arial" w:cs="Arial"/>
          <w:sz w:val="24"/>
          <w:szCs w:val="24"/>
        </w:rPr>
        <w:t>this PPS include the following:</w:t>
      </w:r>
    </w:p>
    <w:p w14:paraId="4FFF1CA9" w14:textId="77777777" w:rsidR="00DF0AEE" w:rsidRPr="00815092" w:rsidRDefault="00815092" w:rsidP="00815092">
      <w:pPr>
        <w:tabs>
          <w:tab w:val="left" w:pos="57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15092">
        <w:rPr>
          <w:rFonts w:ascii="Arial" w:eastAsia="Times New Roman" w:hAnsi="Arial" w:cs="Arial"/>
          <w:sz w:val="24"/>
          <w:szCs w:val="24"/>
          <w:u w:val="single"/>
        </w:rPr>
        <w:t>Position</w:t>
      </w:r>
      <w:r>
        <w:rPr>
          <w:rFonts w:ascii="Arial" w:eastAsia="Times New Roman" w:hAnsi="Arial" w:cs="Arial"/>
          <w:sz w:val="24"/>
          <w:szCs w:val="24"/>
        </w:rPr>
        <w:tab/>
      </w:r>
      <w:r w:rsidR="00DF0AEE" w:rsidRPr="00815092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08FB59D6" w14:textId="06C25B4B" w:rsidR="00815092" w:rsidRDefault="00815092" w:rsidP="00815092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Associate Vice President for Financial</w:t>
      </w:r>
      <w:r w:rsidR="492FCF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>July 1 E4Y</w:t>
      </w:r>
    </w:p>
    <w:p w14:paraId="2DB22370" w14:textId="77777777" w:rsidR="00815092" w:rsidRDefault="00815092" w:rsidP="00815092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Services</w:t>
      </w:r>
    </w:p>
    <w:p w14:paraId="2606381C" w14:textId="70911864" w:rsidR="00DF0AEE" w:rsidRPr="00815092" w:rsidRDefault="00DF0AEE" w:rsidP="00815092">
      <w:pPr>
        <w:tabs>
          <w:tab w:val="left" w:pos="57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15092">
        <w:rPr>
          <w:rFonts w:ascii="Arial" w:eastAsia="Times New Roman" w:hAnsi="Arial" w:cs="Arial"/>
          <w:sz w:val="24"/>
          <w:szCs w:val="24"/>
        </w:rPr>
        <w:t>Director of Accounting</w:t>
      </w:r>
      <w:r w:rsidR="194EE60B" w:rsidRPr="00815092">
        <w:rPr>
          <w:rFonts w:ascii="Arial" w:eastAsia="Times New Roman" w:hAnsi="Arial" w:cs="Arial"/>
          <w:sz w:val="24"/>
          <w:szCs w:val="24"/>
        </w:rPr>
        <w:t xml:space="preserve"> </w:t>
      </w:r>
      <w:r w:rsidRPr="00815092">
        <w:rPr>
          <w:rFonts w:ascii="Arial" w:eastAsia="Times New Roman" w:hAnsi="Arial" w:cs="Arial"/>
          <w:sz w:val="24"/>
          <w:szCs w:val="24"/>
        </w:rPr>
        <w:tab/>
        <w:t xml:space="preserve">July </w:t>
      </w:r>
      <w:r w:rsidR="00815092">
        <w:rPr>
          <w:rFonts w:ascii="Arial" w:eastAsia="Times New Roman" w:hAnsi="Arial" w:cs="Arial"/>
          <w:sz w:val="24"/>
          <w:szCs w:val="24"/>
        </w:rPr>
        <w:t>1 E4Y</w:t>
      </w:r>
    </w:p>
    <w:p w14:paraId="57A35B65" w14:textId="654B8349" w:rsidR="00DF0AEE" w:rsidRPr="00815092" w:rsidRDefault="00E22008" w:rsidP="00815092">
      <w:pPr>
        <w:tabs>
          <w:tab w:val="left" w:pos="57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15092">
        <w:rPr>
          <w:rFonts w:ascii="Arial" w:eastAsia="Times New Roman" w:hAnsi="Arial" w:cs="Arial"/>
          <w:sz w:val="24"/>
          <w:szCs w:val="24"/>
        </w:rPr>
        <w:t>Assistant Director of Accounting</w:t>
      </w:r>
      <w:r w:rsidR="49FB119A" w:rsidRPr="00815092">
        <w:rPr>
          <w:rFonts w:ascii="Arial" w:eastAsia="Times New Roman" w:hAnsi="Arial" w:cs="Arial"/>
          <w:sz w:val="24"/>
          <w:szCs w:val="24"/>
        </w:rPr>
        <w:t xml:space="preserve"> </w:t>
      </w:r>
      <w:r w:rsidRPr="00815092">
        <w:rPr>
          <w:rFonts w:ascii="Arial" w:eastAsia="Times New Roman" w:hAnsi="Arial" w:cs="Arial"/>
          <w:sz w:val="24"/>
          <w:szCs w:val="24"/>
        </w:rPr>
        <w:tab/>
        <w:t xml:space="preserve">July </w:t>
      </w:r>
      <w:r w:rsidR="00815092">
        <w:rPr>
          <w:rFonts w:ascii="Arial" w:eastAsia="Times New Roman" w:hAnsi="Arial" w:cs="Arial"/>
          <w:sz w:val="24"/>
          <w:szCs w:val="24"/>
        </w:rPr>
        <w:t>1 E4Y</w:t>
      </w:r>
    </w:p>
    <w:p w14:paraId="2534630E" w14:textId="695B4ED1" w:rsidR="4F001AA3" w:rsidRDefault="4F001AA3" w:rsidP="006633BF">
      <w:pPr>
        <w:tabs>
          <w:tab w:val="left" w:pos="57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308EEB3B">
        <w:rPr>
          <w:rFonts w:ascii="Arial" w:eastAsia="Times New Roman" w:hAnsi="Arial" w:cs="Arial"/>
          <w:sz w:val="24"/>
          <w:szCs w:val="24"/>
        </w:rPr>
        <w:t>Director of Payroll and Tax Compliance</w:t>
      </w:r>
      <w:r w:rsidR="00181E9B">
        <w:rPr>
          <w:rFonts w:ascii="Arial" w:eastAsia="Times New Roman" w:hAnsi="Arial" w:cs="Arial"/>
          <w:sz w:val="24"/>
          <w:szCs w:val="24"/>
        </w:rPr>
        <w:tab/>
      </w:r>
      <w:r w:rsidR="0089586B" w:rsidRPr="00815092">
        <w:rPr>
          <w:rFonts w:ascii="Arial" w:eastAsia="Times New Roman" w:hAnsi="Arial" w:cs="Arial"/>
          <w:sz w:val="24"/>
          <w:szCs w:val="24"/>
        </w:rPr>
        <w:t xml:space="preserve">July </w:t>
      </w:r>
      <w:r w:rsidR="0089586B">
        <w:rPr>
          <w:rFonts w:ascii="Arial" w:eastAsia="Times New Roman" w:hAnsi="Arial" w:cs="Arial"/>
          <w:sz w:val="24"/>
          <w:szCs w:val="24"/>
        </w:rPr>
        <w:t>1 E4Y</w:t>
      </w:r>
    </w:p>
    <w:p w14:paraId="30F607A3" w14:textId="37CE1084" w:rsidR="00A710C2" w:rsidRPr="00815092" w:rsidRDefault="00A710C2" w:rsidP="00A710C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815092">
        <w:rPr>
          <w:rFonts w:ascii="Arial" w:eastAsia="Times New Roman" w:hAnsi="Arial" w:cs="Arial"/>
          <w:b/>
          <w:sz w:val="24"/>
          <w:szCs w:val="24"/>
        </w:rPr>
        <w:t>0</w:t>
      </w:r>
      <w:r w:rsidR="008D0C3A">
        <w:rPr>
          <w:rFonts w:ascii="Arial" w:eastAsia="Times New Roman" w:hAnsi="Arial" w:cs="Arial"/>
          <w:b/>
          <w:sz w:val="24"/>
          <w:szCs w:val="24"/>
        </w:rPr>
        <w:t>4</w:t>
      </w:r>
      <w:r w:rsidRPr="00815092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E54493" w:rsidRPr="00815092">
        <w:rPr>
          <w:rFonts w:ascii="Arial" w:eastAsia="Times New Roman" w:hAnsi="Arial" w:cs="Arial"/>
          <w:b/>
          <w:sz w:val="24"/>
          <w:szCs w:val="24"/>
        </w:rPr>
        <w:tab/>
      </w:r>
      <w:r w:rsidR="00815092">
        <w:rPr>
          <w:rFonts w:ascii="Arial" w:eastAsia="Times New Roman" w:hAnsi="Arial" w:cs="Arial"/>
          <w:b/>
          <w:sz w:val="24"/>
          <w:szCs w:val="24"/>
        </w:rPr>
        <w:t xml:space="preserve">CERTIFICATION </w:t>
      </w:r>
      <w:r w:rsidRPr="00815092">
        <w:rPr>
          <w:rFonts w:ascii="Arial" w:eastAsia="Times New Roman" w:hAnsi="Arial" w:cs="Arial"/>
          <w:b/>
          <w:sz w:val="24"/>
          <w:szCs w:val="24"/>
        </w:rPr>
        <w:t xml:space="preserve">STATEMENT  </w:t>
      </w:r>
    </w:p>
    <w:p w14:paraId="698FB8CD" w14:textId="77777777" w:rsidR="006A4564" w:rsidRPr="00815092" w:rsidRDefault="006A4564" w:rsidP="00A710C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9B18057" w14:textId="77777777" w:rsidR="00A710C2" w:rsidRPr="00815092" w:rsidRDefault="00815092" w:rsidP="006A456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A710C2" w:rsidRPr="00815092">
        <w:rPr>
          <w:rFonts w:ascii="Arial" w:eastAsia="Times New Roman" w:hAnsi="Arial" w:cs="Arial"/>
          <w:sz w:val="24"/>
          <w:szCs w:val="24"/>
        </w:rPr>
        <w:t>PPS has been approved by the following individua</w:t>
      </w:r>
      <w:r>
        <w:rPr>
          <w:rFonts w:ascii="Arial" w:eastAsia="Times New Roman" w:hAnsi="Arial" w:cs="Arial"/>
          <w:sz w:val="24"/>
          <w:szCs w:val="24"/>
        </w:rPr>
        <w:t>ls in their official capacities</w:t>
      </w:r>
      <w:r w:rsidR="00A710C2" w:rsidRPr="00815092">
        <w:rPr>
          <w:rFonts w:ascii="Arial" w:eastAsia="Times New Roman" w:hAnsi="Arial" w:cs="Arial"/>
          <w:sz w:val="24"/>
          <w:szCs w:val="24"/>
        </w:rPr>
        <w:t xml:space="preserve"> and represents </w:t>
      </w:r>
      <w:r>
        <w:rPr>
          <w:rFonts w:ascii="Arial" w:eastAsia="Times New Roman" w:hAnsi="Arial" w:cs="Arial"/>
          <w:sz w:val="24"/>
          <w:szCs w:val="24"/>
        </w:rPr>
        <w:t xml:space="preserve">Texas State </w:t>
      </w:r>
      <w:r w:rsidR="00A710C2" w:rsidRPr="00815092"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inance and </w:t>
      </w:r>
      <w:r w:rsidR="00A710C2" w:rsidRPr="00815092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upport </w:t>
      </w:r>
      <w:r w:rsidR="00A710C2" w:rsidRPr="00815092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ervices</w:t>
      </w:r>
      <w:r w:rsidR="00A710C2" w:rsidRPr="00815092">
        <w:rPr>
          <w:rFonts w:ascii="Arial" w:eastAsia="Times New Roman" w:hAnsi="Arial" w:cs="Arial"/>
          <w:sz w:val="24"/>
          <w:szCs w:val="24"/>
        </w:rPr>
        <w:t xml:space="preserve"> policy and procedure from the date of this document until superseded.</w:t>
      </w:r>
    </w:p>
    <w:p w14:paraId="39956AB7" w14:textId="77777777" w:rsidR="00A710C2" w:rsidRPr="00815092" w:rsidRDefault="0078278C" w:rsidP="006A456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15092">
        <w:rPr>
          <w:rFonts w:ascii="Arial" w:eastAsia="Times New Roman" w:hAnsi="Arial" w:cs="Arial"/>
          <w:sz w:val="24"/>
          <w:szCs w:val="24"/>
        </w:rPr>
        <w:t>Associate Vice President</w:t>
      </w:r>
      <w:r w:rsidR="00FB4B4B" w:rsidRPr="00815092">
        <w:rPr>
          <w:rFonts w:ascii="Arial" w:eastAsia="Times New Roman" w:hAnsi="Arial" w:cs="Arial"/>
          <w:sz w:val="24"/>
          <w:szCs w:val="24"/>
        </w:rPr>
        <w:t>,</w:t>
      </w:r>
      <w:r w:rsidRPr="00815092">
        <w:rPr>
          <w:rFonts w:ascii="Arial" w:eastAsia="Times New Roman" w:hAnsi="Arial" w:cs="Arial"/>
          <w:sz w:val="24"/>
          <w:szCs w:val="24"/>
        </w:rPr>
        <w:t xml:space="preserve"> </w:t>
      </w:r>
      <w:r w:rsidR="00815092">
        <w:rPr>
          <w:rFonts w:ascii="Arial" w:eastAsia="Times New Roman" w:hAnsi="Arial" w:cs="Arial"/>
          <w:sz w:val="24"/>
          <w:szCs w:val="24"/>
        </w:rPr>
        <w:t>Financial Services;</w:t>
      </w:r>
      <w:r w:rsidR="00A710C2" w:rsidRPr="00815092">
        <w:rPr>
          <w:rFonts w:ascii="Arial" w:eastAsia="Times New Roman" w:hAnsi="Arial" w:cs="Arial"/>
          <w:sz w:val="24"/>
          <w:szCs w:val="24"/>
        </w:rPr>
        <w:t xml:space="preserve"> </w:t>
      </w:r>
      <w:r w:rsidR="00815092">
        <w:rPr>
          <w:rFonts w:ascii="Arial" w:eastAsia="Times New Roman" w:hAnsi="Arial" w:cs="Arial"/>
          <w:sz w:val="24"/>
          <w:szCs w:val="24"/>
        </w:rPr>
        <w:t>s</w:t>
      </w:r>
      <w:r w:rsidR="003E1AA6" w:rsidRPr="00815092">
        <w:rPr>
          <w:rFonts w:ascii="Arial" w:eastAsia="Times New Roman" w:hAnsi="Arial" w:cs="Arial"/>
          <w:sz w:val="24"/>
          <w:szCs w:val="24"/>
        </w:rPr>
        <w:t xml:space="preserve">enior </w:t>
      </w:r>
      <w:r w:rsidR="00815092">
        <w:rPr>
          <w:rFonts w:ascii="Arial" w:eastAsia="Times New Roman" w:hAnsi="Arial" w:cs="Arial"/>
          <w:sz w:val="24"/>
          <w:szCs w:val="24"/>
        </w:rPr>
        <w:t>r</w:t>
      </w:r>
      <w:r w:rsidR="00A710C2" w:rsidRPr="00815092">
        <w:rPr>
          <w:rFonts w:ascii="Arial" w:eastAsia="Times New Roman" w:hAnsi="Arial" w:cs="Arial"/>
          <w:sz w:val="24"/>
          <w:szCs w:val="24"/>
        </w:rPr>
        <w:t>eviewer</w:t>
      </w:r>
      <w:r w:rsidR="00815092">
        <w:rPr>
          <w:rFonts w:ascii="Arial" w:eastAsia="Times New Roman" w:hAnsi="Arial" w:cs="Arial"/>
          <w:sz w:val="24"/>
          <w:szCs w:val="24"/>
        </w:rPr>
        <w:t xml:space="preserve"> of this PPS</w:t>
      </w:r>
    </w:p>
    <w:p w14:paraId="342BB18B" w14:textId="77777777" w:rsidR="00A710C2" w:rsidRPr="00815092" w:rsidRDefault="00A710C2" w:rsidP="006A456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15092">
        <w:rPr>
          <w:rFonts w:ascii="Arial" w:eastAsia="Times New Roman" w:hAnsi="Arial" w:cs="Arial"/>
          <w:sz w:val="24"/>
          <w:szCs w:val="24"/>
        </w:rPr>
        <w:t>Vice President</w:t>
      </w:r>
      <w:r w:rsidR="00815092">
        <w:rPr>
          <w:rFonts w:ascii="Arial" w:eastAsia="Times New Roman" w:hAnsi="Arial" w:cs="Arial"/>
          <w:sz w:val="24"/>
          <w:szCs w:val="24"/>
        </w:rPr>
        <w:t xml:space="preserve"> for</w:t>
      </w:r>
      <w:r w:rsidRPr="00815092">
        <w:rPr>
          <w:rFonts w:ascii="Arial" w:eastAsia="Times New Roman" w:hAnsi="Arial" w:cs="Arial"/>
          <w:sz w:val="24"/>
          <w:szCs w:val="24"/>
        </w:rPr>
        <w:t xml:space="preserve"> Finance and Support Services</w:t>
      </w:r>
    </w:p>
    <w:p w14:paraId="0B46EAC8" w14:textId="77777777" w:rsidR="00A710C2" w:rsidRPr="00815092" w:rsidRDefault="00A710C2" w:rsidP="006A456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AA9A07F" w14:textId="77777777" w:rsidR="00A710C2" w:rsidRPr="00815092" w:rsidRDefault="00A710C2" w:rsidP="00A710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187EF790" w14:textId="77777777" w:rsidR="0020124F" w:rsidRPr="00815092" w:rsidRDefault="0020124F">
      <w:pPr>
        <w:rPr>
          <w:rFonts w:ascii="Arial" w:hAnsi="Arial" w:cs="Arial"/>
        </w:rPr>
      </w:pPr>
    </w:p>
    <w:sectPr w:rsidR="0020124F" w:rsidRPr="00815092" w:rsidSect="0020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B57FE"/>
    <w:multiLevelType w:val="multilevel"/>
    <w:tmpl w:val="3B942D96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C2"/>
    <w:rsid w:val="00025219"/>
    <w:rsid w:val="00091200"/>
    <w:rsid w:val="00095E96"/>
    <w:rsid w:val="00097A65"/>
    <w:rsid w:val="000A702F"/>
    <w:rsid w:val="000D7138"/>
    <w:rsid w:val="000E346B"/>
    <w:rsid w:val="00111B60"/>
    <w:rsid w:val="00143C49"/>
    <w:rsid w:val="00144122"/>
    <w:rsid w:val="0016394D"/>
    <w:rsid w:val="001639AC"/>
    <w:rsid w:val="00181E9B"/>
    <w:rsid w:val="001978E1"/>
    <w:rsid w:val="001A05AA"/>
    <w:rsid w:val="001B61E5"/>
    <w:rsid w:val="001D6835"/>
    <w:rsid w:val="001F3E05"/>
    <w:rsid w:val="0020124F"/>
    <w:rsid w:val="00220BD9"/>
    <w:rsid w:val="00255EAA"/>
    <w:rsid w:val="002B13A5"/>
    <w:rsid w:val="002B6FE5"/>
    <w:rsid w:val="00304804"/>
    <w:rsid w:val="00311A62"/>
    <w:rsid w:val="003214A3"/>
    <w:rsid w:val="003440AF"/>
    <w:rsid w:val="00371773"/>
    <w:rsid w:val="003762C8"/>
    <w:rsid w:val="003932D2"/>
    <w:rsid w:val="003A1724"/>
    <w:rsid w:val="003B1E67"/>
    <w:rsid w:val="003C4EBC"/>
    <w:rsid w:val="003C625E"/>
    <w:rsid w:val="003D3EF4"/>
    <w:rsid w:val="003E1AA6"/>
    <w:rsid w:val="003E2122"/>
    <w:rsid w:val="003F79B0"/>
    <w:rsid w:val="0041413A"/>
    <w:rsid w:val="00415C7A"/>
    <w:rsid w:val="00421D76"/>
    <w:rsid w:val="00433C6D"/>
    <w:rsid w:val="00442669"/>
    <w:rsid w:val="00471351"/>
    <w:rsid w:val="004B24BB"/>
    <w:rsid w:val="004D15FB"/>
    <w:rsid w:val="004D1822"/>
    <w:rsid w:val="004E3F8F"/>
    <w:rsid w:val="004F2E84"/>
    <w:rsid w:val="004F3C66"/>
    <w:rsid w:val="004F4D33"/>
    <w:rsid w:val="00501BED"/>
    <w:rsid w:val="00522864"/>
    <w:rsid w:val="00550354"/>
    <w:rsid w:val="005521DD"/>
    <w:rsid w:val="00554A97"/>
    <w:rsid w:val="0056080A"/>
    <w:rsid w:val="00563998"/>
    <w:rsid w:val="0057703A"/>
    <w:rsid w:val="0058356F"/>
    <w:rsid w:val="005A1DDC"/>
    <w:rsid w:val="005A77F0"/>
    <w:rsid w:val="005C0579"/>
    <w:rsid w:val="005C42D1"/>
    <w:rsid w:val="005D5742"/>
    <w:rsid w:val="005E5215"/>
    <w:rsid w:val="005E7599"/>
    <w:rsid w:val="006151EC"/>
    <w:rsid w:val="00662A56"/>
    <w:rsid w:val="006633BF"/>
    <w:rsid w:val="00670D75"/>
    <w:rsid w:val="00681627"/>
    <w:rsid w:val="0068421E"/>
    <w:rsid w:val="006A0C74"/>
    <w:rsid w:val="006A4564"/>
    <w:rsid w:val="006A50B1"/>
    <w:rsid w:val="006A7566"/>
    <w:rsid w:val="006B5A87"/>
    <w:rsid w:val="006B6C92"/>
    <w:rsid w:val="006E5FA8"/>
    <w:rsid w:val="006F61E5"/>
    <w:rsid w:val="0070550F"/>
    <w:rsid w:val="00733D1C"/>
    <w:rsid w:val="00751157"/>
    <w:rsid w:val="0075672E"/>
    <w:rsid w:val="00775362"/>
    <w:rsid w:val="0078278C"/>
    <w:rsid w:val="007C0D25"/>
    <w:rsid w:val="007E1940"/>
    <w:rsid w:val="00803CF8"/>
    <w:rsid w:val="00815092"/>
    <w:rsid w:val="00823B4E"/>
    <w:rsid w:val="008467EF"/>
    <w:rsid w:val="008563FC"/>
    <w:rsid w:val="00861AA0"/>
    <w:rsid w:val="00871898"/>
    <w:rsid w:val="00873A6F"/>
    <w:rsid w:val="008863D3"/>
    <w:rsid w:val="0089586B"/>
    <w:rsid w:val="008B7258"/>
    <w:rsid w:val="008C5381"/>
    <w:rsid w:val="008D0C3A"/>
    <w:rsid w:val="008E132B"/>
    <w:rsid w:val="008E300B"/>
    <w:rsid w:val="008E4637"/>
    <w:rsid w:val="008E657F"/>
    <w:rsid w:val="0093686F"/>
    <w:rsid w:val="00943C14"/>
    <w:rsid w:val="00953D88"/>
    <w:rsid w:val="0096757C"/>
    <w:rsid w:val="009B7489"/>
    <w:rsid w:val="009D73E3"/>
    <w:rsid w:val="009E4CA6"/>
    <w:rsid w:val="009F086C"/>
    <w:rsid w:val="00A00C9E"/>
    <w:rsid w:val="00A52685"/>
    <w:rsid w:val="00A710C2"/>
    <w:rsid w:val="00A972B7"/>
    <w:rsid w:val="00AC275E"/>
    <w:rsid w:val="00AC6C8E"/>
    <w:rsid w:val="00B001F2"/>
    <w:rsid w:val="00B2029A"/>
    <w:rsid w:val="00B4125F"/>
    <w:rsid w:val="00B94E75"/>
    <w:rsid w:val="00BB1E2B"/>
    <w:rsid w:val="00BD566D"/>
    <w:rsid w:val="00C07F6B"/>
    <w:rsid w:val="00C61F5C"/>
    <w:rsid w:val="00C6544F"/>
    <w:rsid w:val="00C75D6F"/>
    <w:rsid w:val="00C848FE"/>
    <w:rsid w:val="00CA294E"/>
    <w:rsid w:val="00CC3580"/>
    <w:rsid w:val="00CD2503"/>
    <w:rsid w:val="00D04624"/>
    <w:rsid w:val="00D54869"/>
    <w:rsid w:val="00D93405"/>
    <w:rsid w:val="00DF0AEE"/>
    <w:rsid w:val="00DF2CD4"/>
    <w:rsid w:val="00DF66B0"/>
    <w:rsid w:val="00E0332E"/>
    <w:rsid w:val="00E05D32"/>
    <w:rsid w:val="00E2085A"/>
    <w:rsid w:val="00E22008"/>
    <w:rsid w:val="00E40DDB"/>
    <w:rsid w:val="00E53390"/>
    <w:rsid w:val="00E54493"/>
    <w:rsid w:val="00E63B2D"/>
    <w:rsid w:val="00EB6CF1"/>
    <w:rsid w:val="00ED122F"/>
    <w:rsid w:val="00F004A6"/>
    <w:rsid w:val="00F04E11"/>
    <w:rsid w:val="00F20292"/>
    <w:rsid w:val="00F252F2"/>
    <w:rsid w:val="00F5028E"/>
    <w:rsid w:val="00F6603E"/>
    <w:rsid w:val="00F67D52"/>
    <w:rsid w:val="00F71CC1"/>
    <w:rsid w:val="00F81DC3"/>
    <w:rsid w:val="00FB4B4B"/>
    <w:rsid w:val="00FE1D46"/>
    <w:rsid w:val="01C8C32A"/>
    <w:rsid w:val="0920B9A0"/>
    <w:rsid w:val="0A1E64DD"/>
    <w:rsid w:val="0A2D5BDB"/>
    <w:rsid w:val="0A406A7D"/>
    <w:rsid w:val="194EE60B"/>
    <w:rsid w:val="19B30875"/>
    <w:rsid w:val="1FF96BAB"/>
    <w:rsid w:val="28746D1E"/>
    <w:rsid w:val="2A7A66B1"/>
    <w:rsid w:val="2D702DF7"/>
    <w:rsid w:val="2F1EAEEB"/>
    <w:rsid w:val="308EEB3B"/>
    <w:rsid w:val="38F69912"/>
    <w:rsid w:val="3A497B68"/>
    <w:rsid w:val="3AD5135F"/>
    <w:rsid w:val="48CDFCFC"/>
    <w:rsid w:val="492FCF94"/>
    <w:rsid w:val="49FB119A"/>
    <w:rsid w:val="4E1C7D3F"/>
    <w:rsid w:val="4F001AA3"/>
    <w:rsid w:val="58CCE2F2"/>
    <w:rsid w:val="732A66AB"/>
    <w:rsid w:val="7EE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2D5C"/>
  <w15:docId w15:val="{CE5BB671-E8F2-4107-B4FE-332B6639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C2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0C2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710C2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A7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0C2"/>
    <w:pPr>
      <w:ind w:left="720"/>
      <w:contextualSpacing/>
    </w:pPr>
  </w:style>
  <w:style w:type="table" w:styleId="TableGrid">
    <w:name w:val="Table Grid"/>
    <w:basedOn w:val="TableNormal"/>
    <w:uiPriority w:val="59"/>
    <w:rsid w:val="003E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657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8356F"/>
    <w:pPr>
      <w:spacing w:after="0" w:line="240" w:lineRule="auto"/>
    </w:pPr>
  </w:style>
  <w:style w:type="paragraph" w:styleId="Revision">
    <w:name w:val="Revision"/>
    <w:hidden/>
    <w:uiPriority w:val="99"/>
    <w:semiHidden/>
    <w:rsid w:val="00B2029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60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80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080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81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08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utes.capitol.texas.gov/Docs/TX/htm/TX.156.ht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ptroller.texas.gov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xstate.edu/payroll/tax-compliance/form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ato-docs.its.txstate.edu/jcr:53477c11-c27c-4e7e-a3a2-3bbce6a9f5ac/Texas%20State%20Hotel%20Tax%20Exemp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EA84F381DA4EB3F5D801A263A14A" ma:contentTypeVersion="12" ma:contentTypeDescription="Create a new document." ma:contentTypeScope="" ma:versionID="b1bf179c309979a1498fc4d04ffbbe45">
  <xsd:schema xmlns:xsd="http://www.w3.org/2001/XMLSchema" xmlns:xs="http://www.w3.org/2001/XMLSchema" xmlns:p="http://schemas.microsoft.com/office/2006/metadata/properties" xmlns:ns3="6b4e40fe-25ea-44fa-bc87-080d7160a9c7" xmlns:ns4="aaf3947f-4a15-40e4-8169-d63fc952b0e4" targetNamespace="http://schemas.microsoft.com/office/2006/metadata/properties" ma:root="true" ma:fieldsID="48ba37d6e0462ccd83a58d8b4bbfc852" ns3:_="" ns4:_="">
    <xsd:import namespace="6b4e40fe-25ea-44fa-bc87-080d7160a9c7"/>
    <xsd:import namespace="aaf3947f-4a15-40e4-8169-d63fc952b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40fe-25ea-44fa-bc87-080d7160a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3947f-4a15-40e4-8169-d63fc952b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7384E-2E0E-406F-B796-ADC9F8032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F86BC-4AAE-4EB9-9AF4-B2846F4A5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e40fe-25ea-44fa-bc87-080d7160a9c7"/>
    <ds:schemaRef ds:uri="aaf3947f-4a15-40e4-8169-d63fc952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86ECA-BA4D-4C0B-BFBE-279BD638FA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cn18</dc:creator>
  <cp:keywords/>
  <cp:lastModifiedBy>Garza, Ana Lisa</cp:lastModifiedBy>
  <cp:revision>2</cp:revision>
  <cp:lastPrinted>2012-07-27T12:13:00Z</cp:lastPrinted>
  <dcterms:created xsi:type="dcterms:W3CDTF">2020-08-12T18:02:00Z</dcterms:created>
  <dcterms:modified xsi:type="dcterms:W3CDTF">2020-08-12T18:02:00Z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0x010100C421EA84F381DA4EB3F5D801A263A14A</vt:lpwstr>
  </property>
</Properties>
</file>