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B1B" w:rsidRDefault="002014E6" w:rsidP="00816B1B">
      <w:pPr>
        <w:jc w:val="right"/>
        <w:rPr>
          <w:rFonts w:ascii="Arial" w:hAnsi="Arial" w:cs="Arial"/>
        </w:rPr>
      </w:pPr>
      <w:r>
        <w:rPr>
          <w:rFonts w:ascii="Arial" w:hAnsi="Arial" w:cs="Arial"/>
        </w:rPr>
        <w:t>AAPPS 02.01.10</w:t>
      </w:r>
    </w:p>
    <w:p w:rsidR="00816B1B" w:rsidRDefault="00816B1B" w:rsidP="00816B1B">
      <w:pPr>
        <w:rPr>
          <w:rFonts w:ascii="Arial" w:hAnsi="Arial" w:cs="Arial"/>
        </w:rPr>
      </w:pPr>
      <w:bookmarkStart w:id="0" w:name="_GoBack"/>
      <w:bookmarkEnd w:id="0"/>
    </w:p>
    <w:p w:rsidR="00816B1B" w:rsidRDefault="00816B1B" w:rsidP="00816B1B">
      <w:pPr>
        <w:jc w:val="center"/>
        <w:rPr>
          <w:rFonts w:ascii="Arial" w:hAnsi="Arial" w:cs="Arial"/>
        </w:rPr>
      </w:pPr>
      <w:r>
        <w:rPr>
          <w:rFonts w:ascii="Arial" w:hAnsi="Arial" w:cs="Arial"/>
        </w:rPr>
        <w:t>Criteria for New Doctoral Programs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In accordance with Texas Education Code, Part 1, Chapter 5, Subchapter C, Rule 5.46, new doctoral programs must meet all of the following criteria:</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 Design of the Program.  A doctoral-level program is designed to prepare a graduate student for a lifetime of teaching, creative activity, research, or other professional activity.  The administration and the faculty of institutions initiating doctoral-level programs should exhibit an understanding and commitment to the long tradition of excellence associated with the awarding of the traditional doctorate degrees and of the various doctoral-level professional degrees.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(2) Freedom of Inquiry and Expression.  Doctoral programs must be characterized by complete freedom of inquiry and expression.</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(3) Strong Programs at the Undergraduate and Master's Levels.  Doctoral programs, in most instances, should be undergirded by strong programs in a wide number of disciplines at the undergraduate and master's levels.  Quality programs in other related and supporting doctoral areas must also be available.</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(4) Need for the Program.  There should be a demonstrated and well-documented need for doctoral professionals in the discipline of the proposed program both in Texas and in the nation.  It is the responsibility of the institution requesting a doctoral program to demonstrate that such a need exists, preferably through an analysis of national data showing the number of doctorates being produced annually in the area and comparing that to the numbers of professional job openings for doctorates in the discipline in question as indicated by sources such as the main professional journal(s) of the discipline.</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(5) Faculty Resources.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 xml:space="preserve">(A) There must be a strong core of doctoral faculty, at least four or five, holding the doctor of philosophy degree or its equivalent from a variety of graduate schools of recognized reputation.  Professors and associate professors must be academically prepared professionals who have achieved national or regional professional recognition.  All core faculty must be currently engaged in productive research, and preferably have published the results of such research in the main professional journals of their discipline.  They should come from a variety of academic backgrounds and have complementary areas of specialization within their field.  Some should have experience directing doctoral dissertations.  Collectively, the core of doctoral faculty should guarantee a high quality doctoral program with the potential to attain national prominence.  The core faculty members should already be in the employ of the institution.  Proposed recruitment of such faculty shall not meet this criterion.  No </w:t>
      </w:r>
      <w:r>
        <w:rPr>
          <w:rFonts w:ascii="Arial" w:hAnsi="Arial" w:cs="Arial"/>
        </w:rPr>
        <w:lastRenderedPageBreak/>
        <w:t>authorized doctoral program shall be initiated until qualified faculty are active members of the department through which the program is offered.</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(B) In evaluating faculty resources for proposed degree programs, the Board shall consider only those degrees held by the faculty that were issued by:</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(i) United States institutions accredited by accrediting agencies recognized by the Board or,</w:t>
      </w:r>
    </w:p>
    <w:p w:rsidR="00816B1B" w:rsidRDefault="00816B1B" w:rsidP="00816B1B">
      <w:pPr>
        <w:rPr>
          <w:rFonts w:ascii="Arial" w:hAnsi="Arial" w:cs="Arial"/>
        </w:rPr>
      </w:pPr>
      <w:r>
        <w:rPr>
          <w:rFonts w:ascii="Arial" w:hAnsi="Arial" w:cs="Arial"/>
        </w:rPr>
        <w:t>(ii) institutions located outside the United States that have demonstrated that their degrees are equivalent to degrees issued from an institution in the United States accredited by accrediting agencies recognized by the Board.  The procedures for establishing that equivalency shall be consistent with the guidelines of the National Council on the Evaluation of Foreign Education Credentials, or its successor.</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(6) Teaching Loads of Faculty.  Teaching loads of faculty in the doctoral program should not exceed two or three courses per term, and it must be recognized that some of these shall be advanced courses and seminars with low enrollments.  Adequate funds should be available for attendance and participation in professional meetings and for travel and research necessary for continuing professional development.</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(7) Critical Mass of Superior Students.  Admission standards and enrollment expectations must guarantee a critical mass of superior students.  The program must not result in such a high ratio of doctoral students to faculty as to make individual guidance prohibitive.</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(8) On-Campus Residency Expectations.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(A) Institutions that offer doctoral degrees must provide through each doctoral program:</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(i) significant, sustained, and regular interaction between faculty and students and among students themselves;</w:t>
      </w:r>
    </w:p>
    <w:p w:rsidR="00816B1B" w:rsidRDefault="00816B1B" w:rsidP="00816B1B">
      <w:pPr>
        <w:rPr>
          <w:rFonts w:ascii="Arial" w:hAnsi="Arial" w:cs="Arial"/>
        </w:rPr>
      </w:pPr>
      <w:r>
        <w:rPr>
          <w:rFonts w:ascii="Arial" w:hAnsi="Arial" w:cs="Arial"/>
        </w:rPr>
        <w:t>(ii) opportunities to access and engage in depth a wide variety of educational resources related to the degree program and associated fields;</w:t>
      </w:r>
    </w:p>
    <w:p w:rsidR="00816B1B" w:rsidRDefault="00816B1B" w:rsidP="00816B1B">
      <w:pPr>
        <w:rPr>
          <w:rFonts w:ascii="Arial" w:hAnsi="Arial" w:cs="Arial"/>
        </w:rPr>
      </w:pPr>
      <w:r>
        <w:rPr>
          <w:rFonts w:ascii="Arial" w:hAnsi="Arial" w:cs="Arial"/>
        </w:rPr>
        <w:t>(iii) opportunities for significant exchange of knowledge with the academic community;</w:t>
      </w:r>
    </w:p>
    <w:p w:rsidR="00816B1B" w:rsidRDefault="00816B1B" w:rsidP="00816B1B">
      <w:pPr>
        <w:rPr>
          <w:rFonts w:ascii="Arial" w:hAnsi="Arial" w:cs="Arial"/>
        </w:rPr>
      </w:pPr>
      <w:r>
        <w:rPr>
          <w:rFonts w:ascii="Arial" w:hAnsi="Arial" w:cs="Arial"/>
        </w:rPr>
        <w:t>(iv) opportunities to broaden educational and cultural perspectives; and</w:t>
      </w:r>
    </w:p>
    <w:p w:rsidR="00816B1B" w:rsidRDefault="00816B1B" w:rsidP="00816B1B">
      <w:pPr>
        <w:rPr>
          <w:rFonts w:ascii="Arial" w:hAnsi="Arial" w:cs="Arial"/>
        </w:rPr>
      </w:pPr>
      <w:r>
        <w:rPr>
          <w:rFonts w:ascii="Arial" w:hAnsi="Arial" w:cs="Arial"/>
        </w:rPr>
        <w:t>(v) opportunities to mentor and evaluate students in depth.</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(B) Institutions are traditionally expected to meet these provisions through substantial on-campus residency requirements.  Proposals to meet them in other, non-traditional ways (e.g., to enable distant delivery of a doctoral program) must provide persuasive and thorough documentation as to how each provision would be met and evaluated for the particular program and its students.  Delivery of doctoral programs through distance education and/or off-campus instruction requires prior approval of the Board as specified in §4.104(c)(3) of this title (relating to Approval of Distance Education and Off-Campus Instruction for Public Colleges and Universities).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lastRenderedPageBreak/>
        <w:t>(9) Adequate Financial Assistance for Doctoral Students.  There should be adequate financial assistance for doctoral students so as to assure that most of them can be engaged in full-time study.  Initially, funds for financial assistance to the doctoral students usually must come from institutional sources.  As the program develops and achieves distinction, it increasingly shall attract support from government, industry, foundations, and other sources.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(10) Carefully Planned Program of Study.  There should be a carefully planned and systematic program of study and a degree plan that is clear, comprehensive, and generally uniform but that permits sufficient flexibility to meet the legitimate professional interests and special needs of doctoral-level degree candidates.  There should be a logical sequence of stages by which degree requirements shall be fulfilled.  The plan should require both specialization and breadth of education, with rules for the distribution of study to achieve both, including interdisciplinary programs if indicated.  The plan should include a research dissertation or equivalent requirements to be judged by the doctoral faculty on the basis of quality rather than length.</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(11) Physical Facilities.  There should be an adequate physical plant for the program.  An adequate plant would include reasonably located office space for the faculty, teaching assistants, and administrative and technical support staff; seminar rooms; laboratories, computer and electronic resources; and other appropriate facilities.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(12) Library Resources.  There should be an adequate library for the proposed program.  Library resources should be strong not only in the doctoral program field but also in related and supporting fields.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(13) Program Evaluation Standards.  Proposed programs should meet the standards of the Southern Association of Colleges and Schools</w:t>
      </w:r>
      <w:r w:rsidR="00742CF1">
        <w:rPr>
          <w:rFonts w:ascii="Arial" w:hAnsi="Arial" w:cs="Arial"/>
        </w:rPr>
        <w:t xml:space="preserve"> Commission on Colleges</w:t>
      </w:r>
      <w:r>
        <w:rPr>
          <w:rFonts w:ascii="Arial" w:hAnsi="Arial" w:cs="Arial"/>
        </w:rPr>
        <w:t>, and the accrediting standards and doctoral program criteria of appropriate professional groups and organizations, such as the Council of Graduate Schools in the United States, the Modern Language Association, the American Historical Association, the Accreditation Board for Engineering and Technology or other bodies relevant to the particular discipline.  Out-of-state consultants may be used by the institution or the Board to assist in evaluating the quality of a proposed doctoral level program.</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(14) First Doctoral Program.  When an institution has not previously offered doctoral level work, notification to the executive secretary of the Southern Association of Colleges and Schools</w:t>
      </w:r>
      <w:r w:rsidR="00742CF1">
        <w:rPr>
          <w:rFonts w:ascii="Arial" w:hAnsi="Arial" w:cs="Arial"/>
        </w:rPr>
        <w:t xml:space="preserve"> Commission on Colleges</w:t>
      </w:r>
      <w:r>
        <w:rPr>
          <w:rFonts w:ascii="Arial" w:hAnsi="Arial" w:cs="Arial"/>
        </w:rPr>
        <w:t>, is required at least one year in advance of program implementation.</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(15) Essential Criterion for New Doctoral Degree Programs.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 xml:space="preserve">(A) An essential criterion for the approval of a new doctoral degree program shall be that the institution's most recent six-year baccalaureate graduation rate should equal or exceed the most recent annual statewide average six-year baccalaureate graduation rate.  For the purposes of this rule, the six-year baccalaureate graduation rates at Texas </w:t>
      </w:r>
      <w:r>
        <w:rPr>
          <w:rFonts w:ascii="Arial" w:hAnsi="Arial" w:cs="Arial"/>
        </w:rPr>
        <w:lastRenderedPageBreak/>
        <w:t>A&amp;M University and The University of Texas at Austin shall not be included in the calculation of the state average.  The statewide average six-year baccalaureate graduation rate shall be calculated using the six-year baccalaureate graduation rates of general academic teaching institutions only.  An institution may submit documentation in support of an exception to this criterion based upon special circumstances, including but not limited to significant external funding, compelling regional need, and institutional mission.</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(B) If an institution's six-year baccalaureate graduation rate is below the state average as described, new doctoral programs may still be considered if the institution meets at least two of the following three alternative criteria:</w:t>
      </w:r>
    </w:p>
    <w:p w:rsidR="00816B1B" w:rsidRDefault="00816B1B" w:rsidP="00816B1B">
      <w:pPr>
        <w:rPr>
          <w:rFonts w:ascii="Arial" w:hAnsi="Arial" w:cs="Arial"/>
        </w:rPr>
      </w:pPr>
      <w:r>
        <w:rPr>
          <w:rFonts w:ascii="Arial" w:hAnsi="Arial" w:cs="Arial"/>
        </w:rPr>
        <w:t>(i) The percent of change in the ratio of baccalaureate degrees awarded to the total undergraduate enrollment is at or above the statewide percent of change over the most recent three years, and the institution has had an increase in productivity over the most recent three years.</w:t>
      </w:r>
    </w:p>
    <w:p w:rsidR="00816B1B" w:rsidRDefault="00816B1B" w:rsidP="00816B1B">
      <w:pPr>
        <w:rPr>
          <w:rFonts w:ascii="Arial" w:hAnsi="Arial" w:cs="Arial"/>
        </w:rPr>
      </w:pPr>
      <w:r>
        <w:rPr>
          <w:rFonts w:ascii="Arial" w:hAnsi="Arial" w:cs="Arial"/>
        </w:rPr>
        <w:t>(ii) The percent of change in the total number of baccalaureate degrees awarded is at or above the statewide percent of change for the most recent three years, and the institution has had an increase in productivity over the most recent three years.</w:t>
      </w:r>
    </w:p>
    <w:p w:rsidR="00816B1B" w:rsidRDefault="00816B1B" w:rsidP="00816B1B">
      <w:pPr>
        <w:rPr>
          <w:rFonts w:ascii="Arial" w:hAnsi="Arial" w:cs="Arial"/>
        </w:rPr>
      </w:pPr>
      <w:r>
        <w:rPr>
          <w:rFonts w:ascii="Arial" w:hAnsi="Arial" w:cs="Arial"/>
        </w:rPr>
        <w:t>(iii) The percent of change in the number of baccalaureate degrees awarded to "at risk" students as defined in Chapter 13, Subchapter I, §13.150 of this title (relating to Performance Incentive Funding) is at or above the state percent of change for the most recent three years, and the institution has had an increase in productivity over the most recent three years.</w:t>
      </w:r>
    </w:p>
    <w:p w:rsidR="00816B1B" w:rsidRDefault="00816B1B" w:rsidP="00816B1B">
      <w:pPr>
        <w:rPr>
          <w:rFonts w:ascii="Arial" w:hAnsi="Arial" w:cs="Arial"/>
        </w:rPr>
      </w:pPr>
    </w:p>
    <w:p w:rsidR="00816B1B" w:rsidRDefault="00816B1B" w:rsidP="00816B1B">
      <w:pPr>
        <w:rPr>
          <w:rFonts w:ascii="Arial" w:hAnsi="Arial" w:cs="Arial"/>
        </w:rPr>
      </w:pPr>
      <w:r>
        <w:rPr>
          <w:rFonts w:ascii="Arial" w:hAnsi="Arial" w:cs="Arial"/>
        </w:rPr>
        <w:t>(C) If the institution meets at least two of the three alternative criteria, all applications for new doctoral programs must include an action plan to improve the six-year graduation rate and the unmet alternative criterion.  If additional new doctoral programs are proposed within the same period during which the graduation rate data are effective, applications must include an update on the effectiveness of the initial action plan.  A revised action plan is required for new doctoral program applications in every year for which there is new graduation rate data published by the Coordinating Board.</w:t>
      </w:r>
    </w:p>
    <w:p w:rsidR="00816B1B" w:rsidRDefault="00816B1B" w:rsidP="00816B1B">
      <w:pPr>
        <w:rPr>
          <w:rFonts w:ascii="Arial" w:hAnsi="Arial" w:cs="Arial"/>
        </w:rPr>
      </w:pPr>
    </w:p>
    <w:p w:rsidR="00816B1B" w:rsidRDefault="00816B1B" w:rsidP="00816B1B"/>
    <w:p w:rsidR="00816B1B" w:rsidRDefault="00816B1B" w:rsidP="00816B1B"/>
    <w:p w:rsidR="003646DB" w:rsidRDefault="003646DB"/>
    <w:sectPr w:rsidR="0036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1B"/>
    <w:rsid w:val="000060B8"/>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46CC"/>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14E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C34DD"/>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2ABD"/>
    <w:rsid w:val="00713562"/>
    <w:rsid w:val="00713904"/>
    <w:rsid w:val="00721CCB"/>
    <w:rsid w:val="00723A32"/>
    <w:rsid w:val="00734AC7"/>
    <w:rsid w:val="00737210"/>
    <w:rsid w:val="007375E4"/>
    <w:rsid w:val="00742856"/>
    <w:rsid w:val="00742CF1"/>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16B1B"/>
    <w:rsid w:val="008202AA"/>
    <w:rsid w:val="00834A6F"/>
    <w:rsid w:val="00837D19"/>
    <w:rsid w:val="008550D7"/>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D1D56"/>
    <w:rsid w:val="00CD41DB"/>
    <w:rsid w:val="00CD6C45"/>
    <w:rsid w:val="00CE6C88"/>
    <w:rsid w:val="00CE7F6A"/>
    <w:rsid w:val="00CF3BAA"/>
    <w:rsid w:val="00D22860"/>
    <w:rsid w:val="00D22E70"/>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C2BF1"/>
    <w:rsid w:val="00DD5651"/>
    <w:rsid w:val="00DE40E3"/>
    <w:rsid w:val="00DF3F2A"/>
    <w:rsid w:val="00DF4161"/>
    <w:rsid w:val="00DF52D5"/>
    <w:rsid w:val="00E21E06"/>
    <w:rsid w:val="00E37211"/>
    <w:rsid w:val="00E61189"/>
    <w:rsid w:val="00E6338E"/>
    <w:rsid w:val="00E64270"/>
    <w:rsid w:val="00E74FD9"/>
    <w:rsid w:val="00E85C6C"/>
    <w:rsid w:val="00E908DE"/>
    <w:rsid w:val="00EA40AD"/>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0AC8C-8257-41B9-9780-7846CD4A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B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CF1"/>
    <w:rPr>
      <w:rFonts w:ascii="Segoe UI" w:hAnsi="Segoe UI" w:cs="Segoe UI"/>
      <w:sz w:val="18"/>
      <w:szCs w:val="18"/>
    </w:rPr>
  </w:style>
  <w:style w:type="character" w:customStyle="1" w:styleId="BalloonTextChar">
    <w:name w:val="Balloon Text Char"/>
    <w:link w:val="BalloonText"/>
    <w:uiPriority w:val="99"/>
    <w:semiHidden/>
    <w:rsid w:val="00742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cp:lastPrinted>2015-10-01T18:29:00Z</cp:lastPrinted>
  <dcterms:created xsi:type="dcterms:W3CDTF">2018-05-09T15:51:00Z</dcterms:created>
  <dcterms:modified xsi:type="dcterms:W3CDTF">2018-05-09T16:43:00Z</dcterms:modified>
</cp:coreProperties>
</file>