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00" w:type="pct"/>
        <w:tblCellSpacing w:w="15" w:type="dxa"/>
        <w:tblCellMar>
          <w:top w:w="15" w:type="dxa"/>
          <w:left w:w="15" w:type="dxa"/>
          <w:bottom w:w="15" w:type="dxa"/>
          <w:right w:w="15" w:type="dxa"/>
        </w:tblCellMar>
        <w:tblLook w:val="04A0" w:firstRow="1" w:lastRow="0" w:firstColumn="1" w:lastColumn="0" w:noHBand="0" w:noVBand="1"/>
      </w:tblPr>
      <w:tblGrid>
        <w:gridCol w:w="8237"/>
      </w:tblGrid>
      <w:tr w:rsidR="00D4589F" w:rsidRPr="00FB538F" w:rsidTr="00817593">
        <w:trPr>
          <w:tblCellSpacing w:w="15" w:type="dxa"/>
        </w:trPr>
        <w:tc>
          <w:tcPr>
            <w:tcW w:w="0" w:type="auto"/>
            <w:vAlign w:val="center"/>
            <w:hideMark/>
          </w:tcPr>
          <w:p w:rsidR="00D4589F" w:rsidRPr="00416233" w:rsidRDefault="00144E3D" w:rsidP="00416233">
            <w:pPr>
              <w:jc w:val="center"/>
              <w:rPr>
                <w:rFonts w:ascii="Arial" w:hAnsi="Arial" w:cs="Arial"/>
                <w:b/>
                <w:bCs/>
                <w:sz w:val="28"/>
                <w:szCs w:val="28"/>
              </w:rPr>
            </w:pPr>
            <w:r>
              <w:rPr>
                <w:rFonts w:ascii="Arial" w:hAnsi="Arial" w:cs="Arial"/>
                <w:b/>
                <w:bCs/>
                <w:sz w:val="28"/>
                <w:szCs w:val="28"/>
              </w:rPr>
              <w:t xml:space="preserve">             </w:t>
            </w:r>
            <w:r w:rsidR="00416233" w:rsidRPr="00416233">
              <w:rPr>
                <w:rFonts w:ascii="Arial" w:hAnsi="Arial" w:cs="Arial"/>
                <w:b/>
                <w:bCs/>
                <w:sz w:val="28"/>
                <w:szCs w:val="28"/>
              </w:rPr>
              <w:t>OFFICIAL</w:t>
            </w:r>
          </w:p>
        </w:tc>
      </w:tr>
      <w:tr w:rsidR="002B03AA" w:rsidRPr="00FB538F" w:rsidTr="00817593">
        <w:trPr>
          <w:tblCellSpacing w:w="15" w:type="dxa"/>
        </w:trPr>
        <w:tc>
          <w:tcPr>
            <w:tcW w:w="0" w:type="auto"/>
            <w:vAlign w:val="center"/>
          </w:tcPr>
          <w:p w:rsidR="002B03AA" w:rsidRDefault="002B03AA" w:rsidP="00416233">
            <w:pPr>
              <w:jc w:val="center"/>
              <w:rPr>
                <w:rFonts w:ascii="Arial" w:hAnsi="Arial" w:cs="Arial"/>
                <w:b/>
                <w:bCs/>
                <w:sz w:val="28"/>
                <w:szCs w:val="28"/>
              </w:rPr>
            </w:pPr>
          </w:p>
        </w:tc>
      </w:tr>
    </w:tbl>
    <w:p w:rsidR="00416233" w:rsidRDefault="00416233" w:rsidP="00817593">
      <w:pPr>
        <w:rPr>
          <w:rFonts w:ascii="Arial" w:hAnsi="Arial" w:cs="Arial"/>
        </w:rPr>
      </w:pPr>
    </w:p>
    <w:p w:rsidR="00416233" w:rsidRPr="00FB538F" w:rsidRDefault="00416233" w:rsidP="00817593">
      <w:pPr>
        <w:rPr>
          <w:rFonts w:ascii="Arial" w:hAnsi="Arial" w:cs="Arial"/>
        </w:rPr>
      </w:pPr>
      <w:r w:rsidRPr="00FB538F">
        <w:rPr>
          <w:rFonts w:ascii="Arial" w:hAnsi="Arial" w:cs="Arial"/>
        </w:rPr>
        <w:t xml:space="preserve">Policy and Procedure Statement 7.05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B538F">
        <w:rPr>
          <w:rFonts w:ascii="Arial" w:hAnsi="Arial" w:cs="Arial"/>
        </w:rPr>
        <w:t>Faculty Workload</w:t>
      </w:r>
    </w:p>
    <w:p w:rsidR="00416233" w:rsidRPr="00FB538F" w:rsidRDefault="00416233" w:rsidP="00416233">
      <w:pPr>
        <w:rPr>
          <w:rFonts w:ascii="Arial" w:hAnsi="Arial" w:cs="Arial"/>
        </w:rPr>
      </w:pPr>
      <w:r w:rsidRPr="00FB538F">
        <w:rPr>
          <w:rFonts w:ascii="Arial" w:hAnsi="Arial" w:cs="Arial"/>
        </w:rPr>
        <w:t>Review Cycle: Feb. 1, E4Y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B538F">
        <w:rPr>
          <w:rFonts w:ascii="Arial" w:hAnsi="Arial" w:cs="Arial"/>
        </w:rPr>
        <w:t>(</w:t>
      </w:r>
      <w:r w:rsidR="00144E3D">
        <w:rPr>
          <w:rFonts w:ascii="Arial" w:hAnsi="Arial" w:cs="Arial"/>
        </w:rPr>
        <w:t>39</w:t>
      </w:r>
      <w:r w:rsidRPr="00FB538F">
        <w:rPr>
          <w:rFonts w:ascii="Arial" w:hAnsi="Arial" w:cs="Arial"/>
        </w:rPr>
        <w:t xml:space="preserve"> paragraphs)</w:t>
      </w:r>
    </w:p>
    <w:p w:rsidR="00416233" w:rsidRDefault="00416233" w:rsidP="00416233">
      <w:pPr>
        <w:rPr>
          <w:rFonts w:ascii="Arial" w:hAnsi="Arial" w:cs="Arial"/>
        </w:rPr>
      </w:pPr>
      <w:r w:rsidRPr="00FB538F">
        <w:rPr>
          <w:rFonts w:ascii="Arial" w:hAnsi="Arial" w:cs="Arial"/>
        </w:rPr>
        <w:t xml:space="preserve">Review Date: </w:t>
      </w:r>
      <w:r w:rsidR="0064072F">
        <w:rPr>
          <w:rFonts w:ascii="Arial" w:hAnsi="Arial" w:cs="Arial"/>
        </w:rPr>
        <w:t>02/01/2019</w:t>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hyperlink r:id="rId5" w:history="1">
        <w:r w:rsidR="002B03AA" w:rsidRPr="0009315B">
          <w:rPr>
            <w:rStyle w:val="Hyperlink"/>
            <w:rFonts w:ascii="Arial" w:hAnsi="Arial" w:cs="Arial"/>
          </w:rPr>
          <w:t>Attachment 1</w:t>
        </w:r>
      </w:hyperlink>
    </w:p>
    <w:p w:rsidR="00416233" w:rsidRPr="00FB538F" w:rsidRDefault="00416233" w:rsidP="00416233">
      <w:pPr>
        <w:rPr>
          <w:rFonts w:ascii="Arial" w:hAnsi="Arial" w:cs="Arial"/>
        </w:rPr>
      </w:pPr>
      <w:r w:rsidRPr="00FB538F">
        <w:rPr>
          <w:rFonts w:ascii="Arial" w:hAnsi="Arial" w:cs="Arial"/>
        </w:rPr>
        <w:t>Reviewer: Provost</w:t>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hyperlink r:id="rId6" w:history="1">
        <w:r w:rsidR="002B03AA" w:rsidRPr="00FB538F">
          <w:rPr>
            <w:rStyle w:val="Hyperlink"/>
            <w:rFonts w:ascii="Arial" w:hAnsi="Arial" w:cs="Arial"/>
          </w:rPr>
          <w:t>Attachment 2</w:t>
        </w:r>
      </w:hyperlink>
    </w:p>
    <w:p w:rsidR="002B03AA" w:rsidRDefault="00416233" w:rsidP="00416233">
      <w:pPr>
        <w:rPr>
          <w:rStyle w:val="Hyperlink"/>
          <w:rFonts w:ascii="Arial" w:hAnsi="Arial" w:cs="Arial"/>
        </w:rPr>
      </w:pPr>
      <w:r w:rsidRPr="00FB538F">
        <w:rPr>
          <w:rFonts w:ascii="Arial" w:hAnsi="Arial" w:cs="Arial"/>
        </w:rPr>
        <w:t xml:space="preserve"> </w:t>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r w:rsidR="002B03AA">
        <w:rPr>
          <w:rFonts w:ascii="Arial" w:hAnsi="Arial" w:cs="Arial"/>
        </w:rPr>
        <w:tab/>
      </w:r>
      <w:hyperlink r:id="rId7" w:history="1">
        <w:r w:rsidR="002B03AA" w:rsidRPr="0009315B">
          <w:rPr>
            <w:rStyle w:val="Hyperlink"/>
            <w:rFonts w:ascii="Arial" w:hAnsi="Arial" w:cs="Arial"/>
          </w:rPr>
          <w:t>Attachment 3</w:t>
        </w:r>
      </w:hyperlink>
    </w:p>
    <w:p w:rsidR="002B03AA" w:rsidRPr="007F4344" w:rsidRDefault="007F4344" w:rsidP="002B03AA">
      <w:pPr>
        <w:ind w:left="6480" w:firstLine="720"/>
        <w:rPr>
          <w:rStyle w:val="Hyperlink"/>
          <w:rFonts w:ascii="Arial" w:hAnsi="Arial" w:cs="Arial"/>
        </w:rPr>
      </w:pPr>
      <w:r>
        <w:rPr>
          <w:rFonts w:ascii="Arial" w:hAnsi="Arial" w:cs="Arial"/>
        </w:rPr>
        <w:fldChar w:fldCharType="begin"/>
      </w:r>
      <w:r>
        <w:rPr>
          <w:rFonts w:ascii="Arial" w:hAnsi="Arial" w:cs="Arial"/>
        </w:rPr>
        <w:instrText xml:space="preserve"> HYPERLINK "http://gato-docs.its.txstate.edu/provost-vpaa/office-pps-files/pps7/PPS7-05Att4/PPS7.05_AttIV.doc" </w:instrText>
      </w:r>
      <w:r>
        <w:rPr>
          <w:rFonts w:ascii="Arial" w:hAnsi="Arial" w:cs="Arial"/>
        </w:rPr>
        <w:fldChar w:fldCharType="separate"/>
      </w:r>
      <w:r w:rsidR="002B03AA" w:rsidRPr="007F4344">
        <w:rPr>
          <w:rStyle w:val="Hyperlink"/>
          <w:rFonts w:ascii="Arial" w:hAnsi="Arial" w:cs="Arial"/>
        </w:rPr>
        <w:t>Attachment 4</w:t>
      </w:r>
    </w:p>
    <w:p w:rsidR="00121FF2" w:rsidRDefault="007F4344" w:rsidP="002B03AA">
      <w:pPr>
        <w:ind w:left="6480" w:firstLine="720"/>
        <w:rPr>
          <w:rStyle w:val="Hyperlink"/>
          <w:rFonts w:ascii="Arial" w:hAnsi="Arial" w:cs="Arial"/>
        </w:rPr>
      </w:pPr>
      <w:r>
        <w:rPr>
          <w:rFonts w:ascii="Arial" w:hAnsi="Arial" w:cs="Arial"/>
        </w:rPr>
        <w:fldChar w:fldCharType="end"/>
      </w:r>
      <w:hyperlink r:id="rId8" w:history="1">
        <w:r w:rsidR="00121FF2">
          <w:rPr>
            <w:rStyle w:val="Hyperlink"/>
            <w:rFonts w:ascii="Arial" w:hAnsi="Arial" w:cs="Arial"/>
          </w:rPr>
          <w:t>Attachment 5</w:t>
        </w:r>
      </w:hyperlink>
    </w:p>
    <w:p w:rsidR="002B03AA" w:rsidRPr="00121FF2" w:rsidRDefault="00121FF2" w:rsidP="00416233">
      <w:pPr>
        <w:rPr>
          <w:rStyle w:val="Hyperlink"/>
          <w:rFonts w:ascii="Arial" w:hAnsi="Arial" w:cs="Arial"/>
        </w:rPr>
      </w:pPr>
      <w:r>
        <w:rPr>
          <w:rFonts w:ascii="Arial" w:hAnsi="Arial" w:cs="Arial"/>
        </w:rPr>
        <w:fldChar w:fldCharType="begin"/>
      </w:r>
      <w:r w:rsidR="007F4344">
        <w:rPr>
          <w:rFonts w:ascii="Arial" w:hAnsi="Arial" w:cs="Arial"/>
        </w:rPr>
        <w:instrText>HYPERLINK "C:\\Users\\lmh97\\Desktop\\PPS7.05_AttV.docx"</w:instrText>
      </w:r>
      <w:r>
        <w:rPr>
          <w:rFonts w:ascii="Arial" w:hAnsi="Arial" w:cs="Arial"/>
        </w:rPr>
        <w:fldChar w:fldCharType="separate"/>
      </w:r>
    </w:p>
    <w:p w:rsidR="00D4589F" w:rsidRPr="00FB538F" w:rsidRDefault="00121FF2" w:rsidP="00D4589F">
      <w:pPr>
        <w:jc w:val="center"/>
        <w:rPr>
          <w:rStyle w:val="Strong"/>
          <w:rFonts w:ascii="Arial" w:hAnsi="Arial" w:cs="Arial"/>
        </w:rPr>
      </w:pPr>
      <w:r>
        <w:rPr>
          <w:rFonts w:ascii="Arial" w:hAnsi="Arial" w:cs="Arial"/>
        </w:rPr>
        <w:fldChar w:fldCharType="end"/>
      </w:r>
      <w:r w:rsidR="00D4589F" w:rsidRPr="00FB538F">
        <w:rPr>
          <w:rStyle w:val="Strong"/>
          <w:rFonts w:ascii="Arial" w:hAnsi="Arial" w:cs="Arial"/>
        </w:rPr>
        <w:t>PURPOSE</w:t>
      </w:r>
    </w:p>
    <w:p w:rsidR="00D4589F" w:rsidRPr="00FB538F" w:rsidRDefault="00D4589F" w:rsidP="00D4589F">
      <w:pPr>
        <w:jc w:val="center"/>
        <w:rPr>
          <w:rStyle w:val="Strong"/>
          <w:rFonts w:ascii="Arial" w:hAnsi="Arial" w:cs="Arial"/>
        </w:rPr>
      </w:pPr>
    </w:p>
    <w:p w:rsidR="00D4589F" w:rsidRPr="00FB538F" w:rsidRDefault="00D4589F" w:rsidP="00D4589F">
      <w:pPr>
        <w:pStyle w:val="ListParagraph"/>
        <w:numPr>
          <w:ilvl w:val="0"/>
          <w:numId w:val="1"/>
        </w:numPr>
        <w:rPr>
          <w:rFonts w:ascii="Arial" w:hAnsi="Arial" w:cs="Arial"/>
        </w:rPr>
      </w:pPr>
      <w:r w:rsidRPr="00FB538F">
        <w:rPr>
          <w:rFonts w:ascii="Arial" w:hAnsi="Arial" w:cs="Arial"/>
        </w:rPr>
        <w:t xml:space="preserve">The goal of the workload policy is to document the full professional responsibilities of the faculty.  It is also designed to provide guidance to each academic unit in developing unit specific workload policies. </w:t>
      </w:r>
      <w:r w:rsidR="009E3D09">
        <w:rPr>
          <w:rFonts w:ascii="Arial" w:hAnsi="Arial" w:cs="Arial"/>
        </w:rPr>
        <w:br/>
      </w:r>
    </w:p>
    <w:p w:rsidR="00D4589F" w:rsidRPr="00FB538F" w:rsidRDefault="00D4589F" w:rsidP="00D4589F">
      <w:pPr>
        <w:numPr>
          <w:ilvl w:val="0"/>
          <w:numId w:val="1"/>
        </w:numPr>
        <w:spacing w:before="100" w:beforeAutospacing="1" w:after="100" w:afterAutospacing="1"/>
        <w:rPr>
          <w:rFonts w:ascii="Arial" w:hAnsi="Arial" w:cs="Arial"/>
        </w:rPr>
      </w:pPr>
      <w:r w:rsidRPr="00FB538F">
        <w:rPr>
          <w:rFonts w:ascii="Arial" w:hAnsi="Arial" w:cs="Arial"/>
        </w:rPr>
        <w:t xml:space="preserve">Faculty members and administrators have a right to expect that workloads will be distributed equitably and carried out efficiently and effectively. The purpose of this PPS is to define the way </w:t>
      </w:r>
      <w:r w:rsidR="0064072F">
        <w:rPr>
          <w:rFonts w:ascii="Arial" w:hAnsi="Arial" w:cs="Arial"/>
        </w:rPr>
        <w:t>in which faculty members’</w:t>
      </w:r>
      <w:r w:rsidRPr="00FB538F">
        <w:rPr>
          <w:rFonts w:ascii="Arial" w:hAnsi="Arial" w:cs="Arial"/>
        </w:rPr>
        <w:t xml:space="preserve"> workloads are determined and monitored. </w:t>
      </w:r>
      <w:r w:rsidR="009E3D09">
        <w:rPr>
          <w:rFonts w:ascii="Arial" w:hAnsi="Arial" w:cs="Arial"/>
        </w:rPr>
        <w:br/>
      </w:r>
    </w:p>
    <w:p w:rsidR="00D4589F" w:rsidRPr="00FB538F" w:rsidRDefault="00D4589F" w:rsidP="00D4589F">
      <w:pPr>
        <w:pStyle w:val="ListParagraph"/>
        <w:numPr>
          <w:ilvl w:val="0"/>
          <w:numId w:val="1"/>
        </w:numPr>
        <w:rPr>
          <w:rFonts w:ascii="Arial" w:hAnsi="Arial" w:cs="Arial"/>
        </w:rPr>
      </w:pPr>
      <w:r w:rsidRPr="00FB538F">
        <w:rPr>
          <w:rFonts w:ascii="Arial" w:hAnsi="Arial" w:cs="Arial"/>
        </w:rPr>
        <w:t>This document also establishes the policy and responsibilities for monitoring and reporting faculty workload, and for reporting workload compliance to the Coordinating Board for fall</w:t>
      </w:r>
      <w:r w:rsidR="00E13F1B">
        <w:rPr>
          <w:rFonts w:ascii="Arial" w:hAnsi="Arial" w:cs="Arial"/>
        </w:rPr>
        <w:t>,</w:t>
      </w:r>
      <w:r w:rsidRPr="00FB538F">
        <w:rPr>
          <w:rFonts w:ascii="Arial" w:hAnsi="Arial" w:cs="Arial"/>
        </w:rPr>
        <w:t xml:space="preserve"> spring, and summer </w:t>
      </w:r>
      <w:r w:rsidRPr="001534DF">
        <w:rPr>
          <w:rFonts w:ascii="Arial" w:hAnsi="Arial" w:cs="Arial"/>
        </w:rPr>
        <w:t xml:space="preserve">semesters. For the purpose of this policy, </w:t>
      </w:r>
      <w:r w:rsidR="005137FC">
        <w:rPr>
          <w:rFonts w:ascii="Arial" w:hAnsi="Arial" w:cs="Arial"/>
        </w:rPr>
        <w:t>“</w:t>
      </w:r>
      <w:r w:rsidRPr="001534DF">
        <w:rPr>
          <w:rFonts w:ascii="Arial" w:hAnsi="Arial" w:cs="Arial"/>
        </w:rPr>
        <w:t>faculty</w:t>
      </w:r>
      <w:r w:rsidR="005137FC">
        <w:rPr>
          <w:rFonts w:ascii="Arial" w:hAnsi="Arial" w:cs="Arial"/>
        </w:rPr>
        <w:t>”</w:t>
      </w:r>
      <w:r w:rsidRPr="001534DF">
        <w:rPr>
          <w:rFonts w:ascii="Arial" w:hAnsi="Arial" w:cs="Arial"/>
        </w:rPr>
        <w:t xml:space="preserve"> is defined as any individual</w:t>
      </w:r>
      <w:r w:rsidR="00144E3D">
        <w:rPr>
          <w:rFonts w:ascii="Arial" w:hAnsi="Arial" w:cs="Arial"/>
        </w:rPr>
        <w:t>s</w:t>
      </w:r>
      <w:r w:rsidRPr="001534DF">
        <w:rPr>
          <w:rFonts w:ascii="Arial" w:hAnsi="Arial" w:cs="Arial"/>
        </w:rPr>
        <w:t xml:space="preserve"> having an academic appointment, regardless of the source of funding or assignment.  Graduate/doctoral instructional assistants and graduate/doctoral teaching assistants are treated as faculty, and reported to the Coordinating Board on the Faculty Report (CBM 008).</w:t>
      </w:r>
      <w:r>
        <w:rPr>
          <w:rFonts w:ascii="Arial" w:hAnsi="Arial" w:cs="Arial"/>
        </w:rPr>
        <w:t xml:space="preserve"> </w:t>
      </w:r>
    </w:p>
    <w:p w:rsidR="00D4589F" w:rsidRPr="00FB538F" w:rsidRDefault="00D4589F" w:rsidP="00D4589F">
      <w:pPr>
        <w:pStyle w:val="ListParagraph"/>
        <w:rPr>
          <w:rFonts w:ascii="Arial" w:hAnsi="Arial" w:cs="Arial"/>
        </w:rPr>
      </w:pPr>
    </w:p>
    <w:p w:rsidR="00D4589F" w:rsidRPr="00FB538F" w:rsidRDefault="00D4589F" w:rsidP="00D4589F">
      <w:pPr>
        <w:pStyle w:val="ListParagraph"/>
        <w:jc w:val="center"/>
        <w:rPr>
          <w:rStyle w:val="Strong"/>
          <w:rFonts w:ascii="Arial" w:hAnsi="Arial" w:cs="Arial"/>
        </w:rPr>
      </w:pPr>
      <w:r w:rsidRPr="00FB538F">
        <w:rPr>
          <w:rStyle w:val="Strong"/>
          <w:rFonts w:ascii="Arial" w:hAnsi="Arial" w:cs="Arial"/>
        </w:rPr>
        <w:t>DEFINITIONS</w:t>
      </w:r>
    </w:p>
    <w:p w:rsidR="00D4589F" w:rsidRPr="00FB538F" w:rsidRDefault="00D4589F" w:rsidP="00D4589F">
      <w:pPr>
        <w:pStyle w:val="ListParagraph"/>
        <w:jc w:val="center"/>
        <w:rPr>
          <w:rStyle w:val="Strong"/>
          <w:rFonts w:ascii="Arial" w:hAnsi="Arial" w:cs="Arial"/>
        </w:rPr>
      </w:pPr>
    </w:p>
    <w:p w:rsidR="00D4589F" w:rsidRPr="005F0BEB" w:rsidRDefault="00D4589F" w:rsidP="00D4589F">
      <w:pPr>
        <w:pStyle w:val="ListParagraph"/>
        <w:numPr>
          <w:ilvl w:val="0"/>
          <w:numId w:val="1"/>
        </w:numPr>
        <w:rPr>
          <w:rFonts w:ascii="Arial" w:hAnsi="Arial" w:cs="Arial"/>
        </w:rPr>
      </w:pPr>
      <w:r w:rsidRPr="005F0BEB">
        <w:rPr>
          <w:rFonts w:ascii="Arial" w:hAnsi="Arial" w:cs="Arial"/>
        </w:rPr>
        <w:t>For the purposes of this PPS, “academic unit” will refer to the following:</w:t>
      </w:r>
    </w:p>
    <w:p w:rsidR="00D4589F" w:rsidRPr="005F0BEB" w:rsidRDefault="00144E3D" w:rsidP="00D4589F">
      <w:pPr>
        <w:pStyle w:val="ListParagraph"/>
        <w:numPr>
          <w:ilvl w:val="0"/>
          <w:numId w:val="2"/>
        </w:numPr>
        <w:rPr>
          <w:rFonts w:ascii="Arial" w:hAnsi="Arial" w:cs="Arial"/>
        </w:rPr>
      </w:pPr>
      <w:r>
        <w:rPr>
          <w:rFonts w:ascii="Arial" w:hAnsi="Arial" w:cs="Arial"/>
        </w:rPr>
        <w:t xml:space="preserve"> a </w:t>
      </w:r>
      <w:r w:rsidR="00D4589F" w:rsidRPr="005F0BEB">
        <w:rPr>
          <w:rFonts w:ascii="Arial" w:hAnsi="Arial" w:cs="Arial"/>
        </w:rPr>
        <w:t>department or school residing within a college,</w:t>
      </w:r>
      <w:r w:rsidR="005137FC">
        <w:rPr>
          <w:rFonts w:ascii="Arial" w:hAnsi="Arial" w:cs="Arial"/>
        </w:rPr>
        <w:t xml:space="preserve"> and/or</w:t>
      </w:r>
    </w:p>
    <w:p w:rsidR="00D4589F" w:rsidRPr="005F0BEB" w:rsidRDefault="00144E3D" w:rsidP="00144E3D">
      <w:pPr>
        <w:pStyle w:val="ListParagraph"/>
        <w:numPr>
          <w:ilvl w:val="0"/>
          <w:numId w:val="2"/>
        </w:numPr>
        <w:ind w:left="1890" w:hanging="450"/>
        <w:rPr>
          <w:rFonts w:ascii="Arial" w:hAnsi="Arial" w:cs="Arial"/>
        </w:rPr>
      </w:pPr>
      <w:proofErr w:type="gramStart"/>
      <w:r>
        <w:rPr>
          <w:rFonts w:ascii="Arial" w:hAnsi="Arial" w:cs="Arial"/>
        </w:rPr>
        <w:t>a</w:t>
      </w:r>
      <w:proofErr w:type="gramEnd"/>
      <w:r w:rsidR="00D4589F" w:rsidRPr="005F0BEB">
        <w:rPr>
          <w:rFonts w:ascii="Arial" w:hAnsi="Arial" w:cs="Arial"/>
        </w:rPr>
        <w:t xml:space="preserve"> degree program having a program director who reports to the </w:t>
      </w:r>
      <w:r>
        <w:rPr>
          <w:rFonts w:ascii="Arial" w:hAnsi="Arial" w:cs="Arial"/>
        </w:rPr>
        <w:t xml:space="preserve">       </w:t>
      </w:r>
      <w:r w:rsidR="00D4589F" w:rsidRPr="005F0BEB">
        <w:rPr>
          <w:rFonts w:ascii="Arial" w:hAnsi="Arial" w:cs="Arial"/>
        </w:rPr>
        <w:t xml:space="preserve">college dean. </w:t>
      </w:r>
    </w:p>
    <w:p w:rsidR="00D4589F" w:rsidRPr="005F0BEB" w:rsidRDefault="00D4589F" w:rsidP="00D4589F">
      <w:pPr>
        <w:ind w:left="720"/>
        <w:rPr>
          <w:rFonts w:ascii="Arial" w:hAnsi="Arial" w:cs="Arial"/>
        </w:rPr>
      </w:pPr>
      <w:r w:rsidRPr="005F0BEB">
        <w:rPr>
          <w:rFonts w:ascii="Arial" w:hAnsi="Arial" w:cs="Arial"/>
        </w:rPr>
        <w:t xml:space="preserve">For the purposes of this PPS, “chair” will refer to the academic unit leader. </w:t>
      </w:r>
      <w:r w:rsidR="009E3D09">
        <w:rPr>
          <w:rFonts w:ascii="Arial" w:hAnsi="Arial" w:cs="Arial"/>
        </w:rPr>
        <w:br/>
      </w:r>
    </w:p>
    <w:p w:rsidR="00D4589F" w:rsidRPr="00FB538F" w:rsidRDefault="00D4589F" w:rsidP="00D4589F">
      <w:pPr>
        <w:pStyle w:val="ListParagraph"/>
        <w:numPr>
          <w:ilvl w:val="0"/>
          <w:numId w:val="1"/>
        </w:numPr>
        <w:rPr>
          <w:rFonts w:ascii="Arial" w:hAnsi="Arial" w:cs="Arial"/>
        </w:rPr>
      </w:pPr>
      <w:r w:rsidRPr="00FB538F">
        <w:rPr>
          <w:rFonts w:ascii="Arial" w:hAnsi="Arial" w:cs="Arial"/>
        </w:rPr>
        <w:t>One workload credit is defined as one semester credit hour of organized undergraduate instruction or the equivalent.</w:t>
      </w:r>
      <w:r w:rsidR="009E3D09">
        <w:rPr>
          <w:rFonts w:ascii="Arial" w:hAnsi="Arial" w:cs="Arial"/>
        </w:rPr>
        <w:br/>
      </w:r>
    </w:p>
    <w:p w:rsidR="00D4589F" w:rsidRPr="00FB538F" w:rsidRDefault="00D4589F" w:rsidP="00D4589F">
      <w:pPr>
        <w:pStyle w:val="ListParagraph"/>
        <w:numPr>
          <w:ilvl w:val="0"/>
          <w:numId w:val="1"/>
        </w:numPr>
        <w:rPr>
          <w:rFonts w:ascii="Arial" w:hAnsi="Arial" w:cs="Arial"/>
        </w:rPr>
      </w:pPr>
      <w:r w:rsidRPr="00FB538F">
        <w:rPr>
          <w:rFonts w:ascii="Arial" w:hAnsi="Arial" w:cs="Arial"/>
        </w:rPr>
        <w:t xml:space="preserve">The normal workload for full-time faculty is a minimum of twelve semester credit hours </w:t>
      </w:r>
      <w:r w:rsidRPr="005F0BEB">
        <w:rPr>
          <w:rFonts w:ascii="Arial" w:hAnsi="Arial" w:cs="Arial"/>
        </w:rPr>
        <w:t>per fall and spring semester (twelve workload units). For most</w:t>
      </w:r>
      <w:r>
        <w:rPr>
          <w:rFonts w:ascii="Arial" w:hAnsi="Arial" w:cs="Arial"/>
        </w:rPr>
        <w:t xml:space="preserve"> tenured and </w:t>
      </w:r>
      <w:r w:rsidRPr="005F0BEB">
        <w:rPr>
          <w:rFonts w:ascii="Arial" w:hAnsi="Arial" w:cs="Arial"/>
        </w:rPr>
        <w:t xml:space="preserve"> tenure-track faculty at Texas State, this twelve workload unit standard is fulfilled by teaching two to three classes (6 to 9 workload credits) and conducting research and service at a level that warrants the awarding of three to six </w:t>
      </w:r>
      <w:r w:rsidRPr="005F0BEB">
        <w:rPr>
          <w:rFonts w:ascii="Arial" w:hAnsi="Arial" w:cs="Arial"/>
        </w:rPr>
        <w:lastRenderedPageBreak/>
        <w:t>workload credits. The normal full-time workload for a five week summer</w:t>
      </w:r>
      <w:r>
        <w:rPr>
          <w:rFonts w:ascii="Arial" w:hAnsi="Arial" w:cs="Arial"/>
        </w:rPr>
        <w:t xml:space="preserve"> session is two courses</w:t>
      </w:r>
      <w:r w:rsidRPr="005F0BEB">
        <w:rPr>
          <w:rFonts w:ascii="Arial" w:hAnsi="Arial" w:cs="Arial"/>
        </w:rPr>
        <w:t xml:space="preserve"> (6 workload credits</w:t>
      </w:r>
      <w:r>
        <w:rPr>
          <w:rFonts w:ascii="Arial" w:hAnsi="Arial" w:cs="Arial"/>
        </w:rPr>
        <w:t xml:space="preserve"> or four courses (12 workload credits) for the two five week summer sessions combined.  The normal full-time workload for the separate 10 week summer session is four courses</w:t>
      </w:r>
      <w:r w:rsidRPr="005F0BEB">
        <w:rPr>
          <w:rFonts w:ascii="Arial" w:hAnsi="Arial" w:cs="Arial"/>
        </w:rPr>
        <w:t xml:space="preserve"> (12 workload credits).</w:t>
      </w:r>
      <w:r w:rsidR="009E3D09">
        <w:rPr>
          <w:rFonts w:ascii="Arial" w:hAnsi="Arial" w:cs="Arial"/>
        </w:rPr>
        <w:br/>
      </w:r>
    </w:p>
    <w:p w:rsidR="00D4589F" w:rsidRPr="00FB538F" w:rsidRDefault="00D4589F" w:rsidP="00D4589F">
      <w:pPr>
        <w:numPr>
          <w:ilvl w:val="0"/>
          <w:numId w:val="1"/>
        </w:numPr>
        <w:spacing w:before="100" w:beforeAutospacing="1" w:after="100" w:afterAutospacing="1"/>
        <w:rPr>
          <w:rFonts w:ascii="Arial" w:hAnsi="Arial" w:cs="Arial"/>
        </w:rPr>
      </w:pPr>
      <w:r w:rsidRPr="00FB538F">
        <w:rPr>
          <w:rFonts w:ascii="Arial" w:hAnsi="Arial" w:cs="Arial"/>
        </w:rPr>
        <w:t xml:space="preserve">The full professional responsibility in the career of a tenured or tenure-track faculty member includes his/her obligations to the University for teaching, conducting scholarly/creative activities, and providing service to the University and/or the profession. The professional responsibilities of other faculty members </w:t>
      </w:r>
      <w:r w:rsidRPr="001534DF">
        <w:rPr>
          <w:rFonts w:ascii="Arial" w:hAnsi="Arial" w:cs="Arial"/>
          <w:u w:val="single"/>
        </w:rPr>
        <w:t>may</w:t>
      </w:r>
      <w:r w:rsidRPr="00FB538F">
        <w:rPr>
          <w:rFonts w:ascii="Arial" w:hAnsi="Arial" w:cs="Arial"/>
        </w:rPr>
        <w:t xml:space="preserve"> include</w:t>
      </w:r>
      <w:r>
        <w:rPr>
          <w:rFonts w:ascii="Arial" w:hAnsi="Arial" w:cs="Arial"/>
        </w:rPr>
        <w:t xml:space="preserve"> a combination of</w:t>
      </w:r>
      <w:r w:rsidRPr="00FB538F">
        <w:rPr>
          <w:rFonts w:ascii="Arial" w:hAnsi="Arial" w:cs="Arial"/>
        </w:rPr>
        <w:t xml:space="preserve"> teaching, conducting scholarly/creative activities, or </w:t>
      </w:r>
      <w:r w:rsidR="00144E3D">
        <w:rPr>
          <w:rFonts w:ascii="Arial" w:hAnsi="Arial" w:cs="Arial"/>
        </w:rPr>
        <w:t xml:space="preserve">performing </w:t>
      </w:r>
      <w:r w:rsidRPr="00FB538F">
        <w:rPr>
          <w:rFonts w:ascii="Arial" w:hAnsi="Arial" w:cs="Arial"/>
        </w:rPr>
        <w:t xml:space="preserve">service. The division of the obligations outlined above may vary from individual to individual, and change over time. </w:t>
      </w:r>
    </w:p>
    <w:p w:rsidR="0064072F" w:rsidRDefault="0064072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4589F" w:rsidRPr="00FB538F" w:rsidTr="0064072F">
        <w:trPr>
          <w:tblCellSpacing w:w="15" w:type="dxa"/>
        </w:trPr>
        <w:tc>
          <w:tcPr>
            <w:tcW w:w="4968" w:type="pct"/>
            <w:vAlign w:val="center"/>
            <w:hideMark/>
          </w:tcPr>
          <w:p w:rsidR="00D4589F" w:rsidRPr="00FB538F" w:rsidRDefault="00D4589F" w:rsidP="00817593">
            <w:pPr>
              <w:spacing w:after="240"/>
              <w:jc w:val="center"/>
              <w:rPr>
                <w:rStyle w:val="Strong"/>
                <w:rFonts w:ascii="Arial" w:hAnsi="Arial" w:cs="Arial"/>
              </w:rPr>
            </w:pPr>
            <w:r w:rsidRPr="00FB538F">
              <w:rPr>
                <w:rStyle w:val="Strong"/>
                <w:rFonts w:ascii="Arial" w:hAnsi="Arial" w:cs="Arial"/>
              </w:rPr>
              <w:t>RESPONSIBILITIES</w:t>
            </w:r>
          </w:p>
          <w:p w:rsidR="00D4589F" w:rsidRPr="00FB538F" w:rsidRDefault="00D4589F" w:rsidP="00817593">
            <w:pPr>
              <w:pStyle w:val="ListParagraph"/>
              <w:numPr>
                <w:ilvl w:val="0"/>
                <w:numId w:val="1"/>
              </w:numPr>
              <w:spacing w:after="240"/>
              <w:rPr>
                <w:rFonts w:ascii="Arial" w:hAnsi="Arial" w:cs="Arial"/>
              </w:rPr>
            </w:pPr>
            <w:r w:rsidRPr="00FB538F">
              <w:rPr>
                <w:rFonts w:ascii="Arial" w:hAnsi="Arial" w:cs="Arial"/>
              </w:rPr>
              <w:t xml:space="preserve">At Texas State, a faculty member's professional responsibilities for each semester are determined by the chair, subject to the approval of the </w:t>
            </w:r>
            <w:r>
              <w:rPr>
                <w:rFonts w:ascii="Arial" w:hAnsi="Arial" w:cs="Arial"/>
              </w:rPr>
              <w:t>d</w:t>
            </w:r>
            <w:r w:rsidRPr="00FB538F">
              <w:rPr>
                <w:rFonts w:ascii="Arial" w:hAnsi="Arial" w:cs="Arial"/>
              </w:rPr>
              <w:t>ean. Chairs are responsible for assuring that individual faculty members' workloads comply with the University workload policy. Chairs are also responsible for assuring that faculty obligations are fairly distributed among faculty members within the academic unit. In meeting this responsibility, chairs should attempt to match the needs of the academic unit and the University as outlined in the academic unit's goals for teaching, scholarly/creative activity, and service with the individual professiona</w:t>
            </w:r>
            <w:r>
              <w:rPr>
                <w:rFonts w:ascii="Arial" w:hAnsi="Arial" w:cs="Arial"/>
              </w:rPr>
              <w:t>l goals of each faculty member. T</w:t>
            </w:r>
            <w:r w:rsidRPr="00FB538F">
              <w:rPr>
                <w:rFonts w:ascii="Arial" w:hAnsi="Arial" w:cs="Arial"/>
              </w:rPr>
              <w:t>hese goals are likely to change over the course of a faculty member's career.</w:t>
            </w:r>
            <w:r w:rsidR="009E3D09">
              <w:rPr>
                <w:rFonts w:ascii="Arial" w:hAnsi="Arial" w:cs="Arial"/>
              </w:rPr>
              <w:br/>
            </w:r>
          </w:p>
          <w:p w:rsidR="00D4589F" w:rsidRPr="005F0BEB" w:rsidRDefault="00D4589F" w:rsidP="00817593">
            <w:pPr>
              <w:pStyle w:val="ListParagraph"/>
              <w:numPr>
                <w:ilvl w:val="0"/>
                <w:numId w:val="1"/>
              </w:numPr>
              <w:spacing w:after="240"/>
              <w:rPr>
                <w:rFonts w:ascii="Arial" w:hAnsi="Arial" w:cs="Arial"/>
              </w:rPr>
            </w:pPr>
            <w:r w:rsidRPr="005F0BEB">
              <w:rPr>
                <w:rFonts w:ascii="Arial" w:hAnsi="Arial" w:cs="Arial"/>
              </w:rPr>
              <w:t>The Provost and Vice President for Academic Affairs is responsible for implementing the workload policy.  Each academic unit is responsible for creating a policy which delineates academic unit-specific workload, including the teaching workload credits for each cour</w:t>
            </w:r>
            <w:r>
              <w:rPr>
                <w:rFonts w:ascii="Arial" w:hAnsi="Arial" w:cs="Arial"/>
              </w:rPr>
              <w:t xml:space="preserve">se, lab, and </w:t>
            </w:r>
            <w:r w:rsidRPr="005F0BEB">
              <w:rPr>
                <w:rFonts w:ascii="Arial" w:hAnsi="Arial" w:cs="Arial"/>
              </w:rPr>
              <w:t xml:space="preserve">individual instruction and any applicable assignments and/or adjustments.  The Provost and the </w:t>
            </w:r>
            <w:r>
              <w:rPr>
                <w:rFonts w:ascii="Arial" w:hAnsi="Arial" w:cs="Arial"/>
              </w:rPr>
              <w:t>d</w:t>
            </w:r>
            <w:r w:rsidRPr="005F0BEB">
              <w:rPr>
                <w:rFonts w:ascii="Arial" w:hAnsi="Arial" w:cs="Arial"/>
              </w:rPr>
              <w:t xml:space="preserve">eans are responsible for ensuring workload equivalence by reviewing </w:t>
            </w:r>
            <w:r>
              <w:rPr>
                <w:rFonts w:ascii="Arial" w:hAnsi="Arial" w:cs="Arial"/>
              </w:rPr>
              <w:t xml:space="preserve">academic unit </w:t>
            </w:r>
            <w:r w:rsidRPr="005F0BEB">
              <w:rPr>
                <w:rFonts w:ascii="Arial" w:hAnsi="Arial" w:cs="Arial"/>
              </w:rPr>
              <w:t xml:space="preserve">policies, workload reports, and monitoring policy compliance. </w:t>
            </w:r>
            <w:r w:rsidR="009E3D09">
              <w:rPr>
                <w:rFonts w:ascii="Arial" w:hAnsi="Arial" w:cs="Arial"/>
              </w:rPr>
              <w:br/>
            </w:r>
          </w:p>
          <w:p w:rsidR="00D4589F" w:rsidRPr="00FB538F" w:rsidRDefault="00D4589F" w:rsidP="00817593">
            <w:pPr>
              <w:pStyle w:val="ListParagraph"/>
              <w:numPr>
                <w:ilvl w:val="0"/>
                <w:numId w:val="1"/>
              </w:numPr>
              <w:spacing w:after="240"/>
              <w:rPr>
                <w:rFonts w:ascii="Arial" w:hAnsi="Arial" w:cs="Arial"/>
              </w:rPr>
            </w:pPr>
            <w:r w:rsidRPr="00FB538F">
              <w:rPr>
                <w:rFonts w:ascii="Arial" w:hAnsi="Arial" w:cs="Arial"/>
              </w:rPr>
              <w:t xml:space="preserve">The procedures for completing workload compliance reports to assure that this standard is met are outlined in </w:t>
            </w:r>
            <w:hyperlink r:id="rId9" w:history="1">
              <w:r w:rsidRPr="0009315B">
                <w:rPr>
                  <w:rStyle w:val="Hyperlink"/>
                  <w:rFonts w:ascii="Arial" w:hAnsi="Arial" w:cs="Arial"/>
                </w:rPr>
                <w:t>Attachment 1</w:t>
              </w:r>
            </w:hyperlink>
            <w:r w:rsidRPr="00FB538F">
              <w:rPr>
                <w:rFonts w:ascii="Arial" w:hAnsi="Arial" w:cs="Arial"/>
              </w:rPr>
              <w:t xml:space="preserve">. Codes that are used to complete this report are outlined in </w:t>
            </w:r>
            <w:hyperlink r:id="rId10" w:history="1">
              <w:r w:rsidRPr="00FB538F">
                <w:rPr>
                  <w:rStyle w:val="Hyperlink"/>
                  <w:rFonts w:ascii="Arial" w:hAnsi="Arial" w:cs="Arial"/>
                </w:rPr>
                <w:t>Attachment 2</w:t>
              </w:r>
            </w:hyperlink>
            <w:r w:rsidR="002B03AA">
              <w:rPr>
                <w:rStyle w:val="Hyperlink"/>
                <w:rFonts w:ascii="Arial" w:hAnsi="Arial" w:cs="Arial"/>
              </w:rPr>
              <w:t xml:space="preserve">. </w:t>
            </w:r>
          </w:p>
          <w:p w:rsidR="00D4589F" w:rsidRPr="00FB538F" w:rsidRDefault="00D4589F" w:rsidP="00817593">
            <w:pPr>
              <w:pStyle w:val="ListParagraph"/>
              <w:rPr>
                <w:rFonts w:ascii="Arial" w:hAnsi="Arial" w:cs="Arial"/>
              </w:rPr>
            </w:pPr>
          </w:p>
          <w:p w:rsidR="00D4589F" w:rsidRPr="00FB538F" w:rsidRDefault="00D4589F" w:rsidP="00817593">
            <w:pPr>
              <w:pStyle w:val="ListParagraph"/>
              <w:spacing w:after="240"/>
              <w:jc w:val="center"/>
              <w:rPr>
                <w:rStyle w:val="Strong"/>
                <w:rFonts w:ascii="Arial" w:hAnsi="Arial" w:cs="Arial"/>
              </w:rPr>
            </w:pPr>
            <w:r w:rsidRPr="00FB538F">
              <w:rPr>
                <w:rStyle w:val="Strong"/>
                <w:rFonts w:ascii="Arial" w:hAnsi="Arial" w:cs="Arial"/>
              </w:rPr>
              <w:t>ASSIGNMENT AND ADJUSTMENT OF WORKLOAD CREDITS</w:t>
            </w:r>
          </w:p>
          <w:p w:rsidR="00D4589F" w:rsidRPr="005F0BEB" w:rsidRDefault="00D4589F" w:rsidP="00817593">
            <w:pPr>
              <w:pStyle w:val="ListParagraph"/>
              <w:numPr>
                <w:ilvl w:val="0"/>
                <w:numId w:val="1"/>
              </w:numPr>
              <w:spacing w:after="240"/>
              <w:rPr>
                <w:rFonts w:ascii="Arial" w:hAnsi="Arial" w:cs="Arial"/>
                <w:b/>
                <w:bCs/>
              </w:rPr>
            </w:pPr>
            <w:r w:rsidRPr="00FB538F">
              <w:rPr>
                <w:rStyle w:val="Strong"/>
                <w:rFonts w:ascii="Arial" w:hAnsi="Arial" w:cs="Arial"/>
                <w:b w:val="0"/>
              </w:rPr>
              <w:t>Workload credit is earned during each s</w:t>
            </w:r>
            <w:r>
              <w:rPr>
                <w:rStyle w:val="Strong"/>
                <w:rFonts w:ascii="Arial" w:hAnsi="Arial" w:cs="Arial"/>
                <w:b w:val="0"/>
              </w:rPr>
              <w:t xml:space="preserve">emester in three general areas; </w:t>
            </w:r>
            <w:r w:rsidRPr="00FB538F">
              <w:rPr>
                <w:rStyle w:val="Strong"/>
                <w:rFonts w:ascii="Arial" w:hAnsi="Arial" w:cs="Arial"/>
                <w:b w:val="0"/>
              </w:rPr>
              <w:t xml:space="preserve">teaching, scholarly/creative activities and service. </w:t>
            </w:r>
            <w:r w:rsidRPr="00FB538F">
              <w:rPr>
                <w:rFonts w:ascii="Arial" w:hAnsi="Arial" w:cs="Arial"/>
              </w:rPr>
              <w:t xml:space="preserve">All activities that </w:t>
            </w:r>
            <w:r>
              <w:rPr>
                <w:rFonts w:ascii="Arial" w:hAnsi="Arial" w:cs="Arial"/>
              </w:rPr>
              <w:t>receive</w:t>
            </w:r>
            <w:r w:rsidRPr="00FB538F">
              <w:rPr>
                <w:rFonts w:ascii="Arial" w:hAnsi="Arial" w:cs="Arial"/>
              </w:rPr>
              <w:t xml:space="preserve"> faculty workload credit should be assessed to maintain acceptable standards of accountability. The total workload credits earned should be used to monitor the distribution of work assignments within each academic unit and across academic units</w:t>
            </w:r>
            <w:r w:rsidRPr="005F0BEB">
              <w:rPr>
                <w:rFonts w:ascii="Arial" w:hAnsi="Arial" w:cs="Arial"/>
              </w:rPr>
              <w:t xml:space="preserve">. Workload in a semester is the sum of assigned workload credits and adjustments to workload.  </w:t>
            </w:r>
            <w:r w:rsidR="009E3D09">
              <w:rPr>
                <w:rFonts w:ascii="Arial" w:hAnsi="Arial" w:cs="Arial"/>
              </w:rPr>
              <w:br/>
            </w:r>
          </w:p>
          <w:p w:rsidR="00D4589F" w:rsidRDefault="00D4589F" w:rsidP="00817593">
            <w:pPr>
              <w:pStyle w:val="ListParagraph"/>
              <w:numPr>
                <w:ilvl w:val="0"/>
                <w:numId w:val="1"/>
              </w:numPr>
              <w:spacing w:before="100" w:beforeAutospacing="1" w:after="100" w:afterAutospacing="1"/>
              <w:rPr>
                <w:rFonts w:ascii="Arial" w:hAnsi="Arial" w:cs="Arial"/>
              </w:rPr>
            </w:pPr>
            <w:r w:rsidRPr="001534DF">
              <w:rPr>
                <w:rFonts w:ascii="Arial" w:hAnsi="Arial" w:cs="Arial"/>
              </w:rPr>
              <w:lastRenderedPageBreak/>
              <w:t>Workload assignments include workload for instruction, scholarly/creative activity</w:t>
            </w:r>
            <w:r w:rsidR="00AC7751">
              <w:rPr>
                <w:rFonts w:ascii="Arial" w:hAnsi="Arial" w:cs="Arial"/>
              </w:rPr>
              <w:t xml:space="preserve"> </w:t>
            </w:r>
            <w:r w:rsidRPr="001534DF">
              <w:rPr>
                <w:rFonts w:ascii="Arial" w:hAnsi="Arial" w:cs="Arial"/>
              </w:rPr>
              <w:t xml:space="preserve">and appointed positions. Workload adjustments include activities for which there is a need for temporary recognition of instruction, scholarly/creative activities and professional activities or service. </w:t>
            </w:r>
          </w:p>
          <w:p w:rsidR="0064072F" w:rsidRPr="0064072F" w:rsidRDefault="0064072F" w:rsidP="0064072F">
            <w:pPr>
              <w:spacing w:before="100" w:beforeAutospacing="1" w:after="100" w:afterAutospacing="1"/>
              <w:rPr>
                <w:rFonts w:ascii="Arial" w:hAnsi="Arial" w:cs="Arial"/>
              </w:rPr>
            </w:pPr>
          </w:p>
          <w:p w:rsidR="00D4589F" w:rsidRPr="00A701B7" w:rsidRDefault="00D4589F" w:rsidP="00817593">
            <w:pPr>
              <w:pStyle w:val="ListParagraph"/>
              <w:numPr>
                <w:ilvl w:val="0"/>
                <w:numId w:val="1"/>
              </w:numPr>
              <w:spacing w:before="100" w:beforeAutospacing="1" w:after="100" w:afterAutospacing="1"/>
              <w:rPr>
                <w:rFonts w:ascii="Arial" w:hAnsi="Arial" w:cs="Arial"/>
              </w:rPr>
            </w:pPr>
            <w:r w:rsidRPr="001534DF">
              <w:rPr>
                <w:rFonts w:ascii="Arial" w:hAnsi="Arial" w:cs="Arial"/>
                <w:color w:val="000000"/>
              </w:rPr>
              <w:t>There may be times when exceptional circumstances require a faculty member to carry a</w:t>
            </w:r>
            <w:r w:rsidRPr="001534DF">
              <w:rPr>
                <w:rFonts w:ascii="Arial" w:hAnsi="Arial" w:cs="Arial"/>
                <w:color w:val="FF0000"/>
              </w:rPr>
              <w:t xml:space="preserve"> </w:t>
            </w:r>
            <w:r w:rsidRPr="001534DF">
              <w:rPr>
                <w:rFonts w:ascii="Arial" w:hAnsi="Arial" w:cs="Arial"/>
              </w:rPr>
              <w:t>teaching (organized course)</w:t>
            </w:r>
            <w:r w:rsidRPr="001534DF">
              <w:rPr>
                <w:rFonts w:ascii="Arial" w:hAnsi="Arial" w:cs="Arial"/>
                <w:color w:val="000000"/>
              </w:rPr>
              <w:t xml:space="preserve"> workload that is clearly beyond the normal expectations. Under these conditions, the faculty member should receive compensation/reimbursement either in the form of reimbursable workload credits or a paid stipend. Reimbursable</w:t>
            </w:r>
            <w:r w:rsidRPr="001534DF">
              <w:rPr>
                <w:rFonts w:ascii="Arial" w:hAnsi="Arial" w:cs="Arial"/>
              </w:rPr>
              <w:t xml:space="preserve"> teaching </w:t>
            </w:r>
            <w:r w:rsidRPr="001534DF">
              <w:rPr>
                <w:rFonts w:ascii="Arial" w:hAnsi="Arial" w:cs="Arial"/>
                <w:color w:val="000000"/>
              </w:rPr>
              <w:t>workload credits must be returned to the faculty member who earned them with a commensurate amount of release during a long semester within two years from when the credit was earned. Reimbursable</w:t>
            </w:r>
            <w:r w:rsidRPr="001534DF">
              <w:rPr>
                <w:rFonts w:ascii="Arial" w:hAnsi="Arial" w:cs="Arial"/>
              </w:rPr>
              <w:t xml:space="preserve"> teaching </w:t>
            </w:r>
            <w:r w:rsidRPr="001534DF">
              <w:rPr>
                <w:rFonts w:ascii="Arial" w:hAnsi="Arial" w:cs="Arial"/>
                <w:color w:val="000000"/>
              </w:rPr>
              <w:t>workload credits and paid overloads must be requested by the chair and approved in advance by the appropriate dean.</w:t>
            </w:r>
          </w:p>
          <w:p w:rsidR="00D4589F" w:rsidRPr="00FB538F" w:rsidRDefault="00D4589F" w:rsidP="00817593">
            <w:pPr>
              <w:spacing w:before="100" w:beforeAutospacing="1" w:after="100" w:afterAutospacing="1"/>
              <w:jc w:val="center"/>
              <w:rPr>
                <w:rStyle w:val="Strong"/>
                <w:rFonts w:ascii="Arial" w:hAnsi="Arial" w:cs="Arial"/>
              </w:rPr>
            </w:pPr>
            <w:r w:rsidRPr="00FB538F">
              <w:rPr>
                <w:rStyle w:val="Strong"/>
                <w:rFonts w:ascii="Arial" w:hAnsi="Arial" w:cs="Arial"/>
              </w:rPr>
              <w:t>WORKLOAD CREDITS FOR TEACHING</w:t>
            </w:r>
          </w:p>
          <w:p w:rsidR="00D4589F" w:rsidRDefault="00D4589F" w:rsidP="00817593">
            <w:pPr>
              <w:pStyle w:val="ListParagraph"/>
              <w:numPr>
                <w:ilvl w:val="0"/>
                <w:numId w:val="1"/>
              </w:numPr>
              <w:spacing w:before="100" w:beforeAutospacing="1" w:after="100" w:afterAutospacing="1"/>
              <w:rPr>
                <w:rFonts w:ascii="Arial" w:hAnsi="Arial" w:cs="Arial"/>
              </w:rPr>
            </w:pPr>
            <w:r w:rsidRPr="00FB538F">
              <w:rPr>
                <w:rFonts w:ascii="Arial" w:hAnsi="Arial" w:cs="Arial"/>
              </w:rPr>
              <w:t xml:space="preserve">Workload </w:t>
            </w:r>
            <w:r>
              <w:rPr>
                <w:rFonts w:ascii="Arial" w:hAnsi="Arial" w:cs="Arial"/>
              </w:rPr>
              <w:t>is calculated for courses, labs</w:t>
            </w:r>
            <w:r w:rsidRPr="00FB538F">
              <w:rPr>
                <w:rFonts w:ascii="Arial" w:hAnsi="Arial" w:cs="Arial"/>
              </w:rPr>
              <w:t xml:space="preserve"> and individual instruction using the semester credit hour value of the course, </w:t>
            </w:r>
            <w:r>
              <w:rPr>
                <w:rFonts w:ascii="Arial" w:hAnsi="Arial" w:cs="Arial"/>
              </w:rPr>
              <w:t>lab</w:t>
            </w:r>
            <w:r w:rsidRPr="00FB538F">
              <w:rPr>
                <w:rFonts w:ascii="Arial" w:hAnsi="Arial" w:cs="Arial"/>
              </w:rPr>
              <w:t xml:space="preserve"> contact hours or the number of students enrolled on the twelfth class day. </w:t>
            </w:r>
            <w:hyperlink r:id="rId11" w:history="1">
              <w:r w:rsidRPr="00FB538F">
                <w:rPr>
                  <w:rStyle w:val="Hyperlink"/>
                  <w:rFonts w:ascii="Arial" w:hAnsi="Arial" w:cs="Arial"/>
                </w:rPr>
                <w:t>Attachment 3</w:t>
              </w:r>
            </w:hyperlink>
            <w:r w:rsidRPr="00FB538F">
              <w:rPr>
                <w:rFonts w:ascii="Arial" w:hAnsi="Arial" w:cs="Arial"/>
              </w:rPr>
              <w:t xml:space="preserve"> summarizes the workload credits normally assigned to various types of activities as well as the maximum workload credit. Chairs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 xml:space="preserve">assign workload adjustments to reflect </w:t>
            </w:r>
            <w:r w:rsidRPr="005F0BEB">
              <w:rPr>
                <w:rFonts w:ascii="Arial" w:hAnsi="Arial" w:cs="Arial"/>
              </w:rPr>
              <w:t>the complexity</w:t>
            </w:r>
            <w:r w:rsidRPr="00FB538F">
              <w:rPr>
                <w:rFonts w:ascii="Arial" w:hAnsi="Arial" w:cs="Arial"/>
              </w:rPr>
              <w:t xml:space="preserve"> of teaching assignments.  </w:t>
            </w:r>
            <w:r w:rsidRPr="00FB538F">
              <w:rPr>
                <w:rStyle w:val="Strong"/>
                <w:rFonts w:ascii="Arial" w:hAnsi="Arial" w:cs="Arial"/>
                <w:b w:val="0"/>
              </w:rPr>
              <w:t>For organized courses,</w:t>
            </w:r>
            <w:r w:rsidRPr="00FB538F">
              <w:rPr>
                <w:rStyle w:val="Strong"/>
                <w:rFonts w:ascii="Arial" w:hAnsi="Arial" w:cs="Arial"/>
              </w:rPr>
              <w:t xml:space="preserve"> </w:t>
            </w:r>
            <w:r w:rsidRPr="00FB538F">
              <w:rPr>
                <w:rFonts w:ascii="Arial" w:hAnsi="Arial" w:cs="Arial"/>
              </w:rPr>
              <w:t>chairs</w:t>
            </w:r>
            <w:r w:rsidRPr="005F0BEB">
              <w:rPr>
                <w:rFonts w:ascii="Arial" w:hAnsi="Arial" w:cs="Arial"/>
              </w:rPr>
              <w:t xml:space="preserve">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 xml:space="preserve">assign up to 1.5 times the credit hour </w:t>
            </w:r>
            <w:r>
              <w:rPr>
                <w:rFonts w:ascii="Arial" w:hAnsi="Arial" w:cs="Arial"/>
              </w:rPr>
              <w:t>value to a specific course</w:t>
            </w:r>
            <w:r w:rsidRPr="00FB538F">
              <w:rPr>
                <w:rFonts w:ascii="Arial" w:hAnsi="Arial" w:cs="Arial"/>
              </w:rPr>
              <w:t xml:space="preserve">. This assignment is appropriate only when preparation, instructional management, grading demands, or research activities related to the teaching assignment are much greater than normal and are not compensated with other support. </w:t>
            </w:r>
            <w:r w:rsidR="009E3D09">
              <w:rPr>
                <w:rFonts w:ascii="Arial" w:hAnsi="Arial" w:cs="Arial"/>
              </w:rPr>
              <w:br/>
            </w:r>
          </w:p>
          <w:p w:rsidR="00D4589F" w:rsidRDefault="00D4589F" w:rsidP="00817593">
            <w:pPr>
              <w:pStyle w:val="ListParagraph"/>
              <w:numPr>
                <w:ilvl w:val="0"/>
                <w:numId w:val="1"/>
              </w:numPr>
              <w:spacing w:before="100" w:beforeAutospacing="1" w:after="100" w:afterAutospacing="1"/>
              <w:rPr>
                <w:rFonts w:ascii="Arial" w:hAnsi="Arial" w:cs="Arial"/>
              </w:rPr>
            </w:pPr>
            <w:r w:rsidRPr="001534DF">
              <w:rPr>
                <w:rFonts w:ascii="Arial" w:hAnsi="Arial" w:cs="Arial"/>
              </w:rPr>
              <w:t xml:space="preserve">Workload credit for graduate/doctoral instructional assistants is generated by the addition of a lab assignment credit in an amount equivalent to the individual’s FTE.  The lab assignment is automatically generated on the report.  Graduate /doctoral teaching assistants generate workload credit by appointment as the instructor of record for a specific course.  Additional credit may be provided by a workload adjustment. </w:t>
            </w:r>
          </w:p>
          <w:p w:rsidR="009623B3" w:rsidRPr="001534DF" w:rsidRDefault="009623B3" w:rsidP="009623B3">
            <w:pPr>
              <w:pStyle w:val="ListParagraph"/>
              <w:spacing w:before="100" w:beforeAutospacing="1" w:after="100" w:afterAutospacing="1"/>
              <w:rPr>
                <w:rFonts w:ascii="Arial" w:hAnsi="Arial" w:cs="Arial"/>
              </w:rPr>
            </w:pPr>
          </w:p>
          <w:p w:rsidR="00D4589F" w:rsidRPr="00FB538F" w:rsidRDefault="00D4589F" w:rsidP="00817593">
            <w:pPr>
              <w:pStyle w:val="ListParagraph"/>
              <w:spacing w:before="100" w:beforeAutospacing="1" w:after="100" w:afterAutospacing="1"/>
              <w:rPr>
                <w:rFonts w:ascii="Arial" w:hAnsi="Arial" w:cs="Arial"/>
              </w:rPr>
            </w:pPr>
            <w:r w:rsidRPr="005F0BEB">
              <w:rPr>
                <w:rFonts w:ascii="Arial" w:hAnsi="Arial" w:cs="Arial"/>
              </w:rPr>
              <w:t>Paragraphs</w:t>
            </w:r>
            <w:r>
              <w:rPr>
                <w:rFonts w:ascii="Arial" w:hAnsi="Arial" w:cs="Arial"/>
              </w:rPr>
              <w:t xml:space="preserve"> 16-20 </w:t>
            </w:r>
            <w:r w:rsidRPr="005F0BEB">
              <w:rPr>
                <w:rFonts w:ascii="Arial" w:hAnsi="Arial" w:cs="Arial"/>
              </w:rPr>
              <w:t>describe the normal methods for assigning teaching workload credits.</w:t>
            </w:r>
            <w:r w:rsidR="009E3D09">
              <w:rPr>
                <w:rFonts w:ascii="Arial" w:hAnsi="Arial" w:cs="Arial"/>
              </w:rPr>
              <w:br/>
            </w:r>
          </w:p>
          <w:p w:rsidR="00D4589F" w:rsidRPr="00FB538F" w:rsidRDefault="00D4589F" w:rsidP="00817593">
            <w:pPr>
              <w:pStyle w:val="ListParagraph"/>
              <w:numPr>
                <w:ilvl w:val="0"/>
                <w:numId w:val="1"/>
              </w:numPr>
              <w:spacing w:before="100" w:beforeAutospacing="1" w:after="100" w:afterAutospacing="1"/>
              <w:rPr>
                <w:rFonts w:ascii="Arial" w:hAnsi="Arial" w:cs="Arial"/>
              </w:rPr>
            </w:pPr>
            <w:r w:rsidRPr="00FB538F">
              <w:rPr>
                <w:rFonts w:ascii="Arial" w:hAnsi="Arial" w:cs="Arial"/>
                <w:b/>
              </w:rPr>
              <w:t>Lecture Courses.</w:t>
            </w:r>
            <w:r w:rsidRPr="00FB538F">
              <w:rPr>
                <w:rFonts w:ascii="Arial" w:hAnsi="Arial" w:cs="Arial"/>
              </w:rPr>
              <w:t xml:space="preserve"> Workload for lecture courses (instruction code 1 according to PPS 2.01) will be assigned based on credit hours of the lecture. </w:t>
            </w:r>
            <w:r w:rsidR="009E3D09">
              <w:rPr>
                <w:rFonts w:ascii="Arial" w:hAnsi="Arial" w:cs="Arial"/>
              </w:rPr>
              <w:br/>
            </w:r>
          </w:p>
          <w:p w:rsidR="00D4589F" w:rsidRPr="00FB538F" w:rsidRDefault="00D4589F" w:rsidP="00817593">
            <w:pPr>
              <w:pStyle w:val="ListParagraph"/>
              <w:numPr>
                <w:ilvl w:val="0"/>
                <w:numId w:val="1"/>
              </w:numPr>
              <w:spacing w:before="100" w:beforeAutospacing="1" w:after="100" w:afterAutospacing="1"/>
              <w:rPr>
                <w:rStyle w:val="Strong"/>
                <w:rFonts w:ascii="Arial" w:hAnsi="Arial" w:cs="Arial"/>
                <w:b w:val="0"/>
                <w:bCs w:val="0"/>
              </w:rPr>
            </w:pPr>
            <w:r w:rsidRPr="00FB538F">
              <w:rPr>
                <w:rStyle w:val="Strong"/>
                <w:rFonts w:ascii="Arial" w:hAnsi="Arial" w:cs="Arial"/>
              </w:rPr>
              <w:t xml:space="preserve">Laboratory Courses.  </w:t>
            </w:r>
            <w:r w:rsidRPr="00FB538F">
              <w:rPr>
                <w:rStyle w:val="Strong"/>
                <w:rFonts w:ascii="Arial" w:hAnsi="Arial" w:cs="Arial"/>
                <w:b w:val="0"/>
              </w:rPr>
              <w:t xml:space="preserve">Workload for laboratory courses (instruction code 2 according to PPS 2.01) will be calculated based on contact hours using </w:t>
            </w:r>
            <w:hyperlink r:id="rId12" w:history="1">
              <w:r w:rsidRPr="0009315B">
                <w:rPr>
                  <w:rStyle w:val="Hyperlink"/>
                  <w:rFonts w:ascii="Arial" w:hAnsi="Arial" w:cs="Arial"/>
                </w:rPr>
                <w:t>Attachment 4</w:t>
              </w:r>
            </w:hyperlink>
            <w:r w:rsidRPr="00FB538F">
              <w:rPr>
                <w:rStyle w:val="Strong"/>
                <w:rFonts w:ascii="Arial" w:hAnsi="Arial" w:cs="Arial"/>
                <w:b w:val="0"/>
                <w:color w:val="0070C0"/>
              </w:rPr>
              <w:t xml:space="preserve"> </w:t>
            </w:r>
            <w:r w:rsidRPr="00FB538F">
              <w:rPr>
                <w:rStyle w:val="Strong"/>
                <w:rFonts w:ascii="Arial" w:hAnsi="Arial" w:cs="Arial"/>
                <w:b w:val="0"/>
              </w:rPr>
              <w:t>as a framework.  Each academic unit should develop a specific workload formula for laboratory courses if t</w:t>
            </w:r>
            <w:r>
              <w:rPr>
                <w:rStyle w:val="Strong"/>
                <w:rFonts w:ascii="Arial" w:hAnsi="Arial" w:cs="Arial"/>
                <w:b w:val="0"/>
              </w:rPr>
              <w:t>he standard formula is not used.</w:t>
            </w:r>
            <w:r w:rsidR="009E3D09">
              <w:rPr>
                <w:rStyle w:val="Strong"/>
                <w:rFonts w:ascii="Arial" w:hAnsi="Arial" w:cs="Arial"/>
                <w:b w:val="0"/>
              </w:rPr>
              <w:br/>
            </w:r>
          </w:p>
          <w:p w:rsidR="00D4589F" w:rsidRPr="00FB538F" w:rsidRDefault="00D4589F" w:rsidP="00817593">
            <w:pPr>
              <w:pStyle w:val="ListParagraph"/>
              <w:numPr>
                <w:ilvl w:val="0"/>
                <w:numId w:val="1"/>
              </w:numPr>
              <w:spacing w:before="100" w:beforeAutospacing="1" w:after="100" w:afterAutospacing="1"/>
              <w:rPr>
                <w:rFonts w:ascii="Arial" w:hAnsi="Arial" w:cs="Arial"/>
              </w:rPr>
            </w:pPr>
            <w:r w:rsidRPr="00FB538F">
              <w:rPr>
                <w:rStyle w:val="Strong"/>
                <w:rFonts w:ascii="Arial" w:hAnsi="Arial" w:cs="Arial"/>
              </w:rPr>
              <w:lastRenderedPageBreak/>
              <w:t>Combined Classroom/Laboratory</w:t>
            </w:r>
            <w:r w:rsidRPr="00FB538F">
              <w:rPr>
                <w:rFonts w:ascii="Arial" w:hAnsi="Arial" w:cs="Arial"/>
              </w:rPr>
              <w:t xml:space="preserve">. In a combined lecture/lab course, workload credit will be assigned based on the credit hours of the lecture and the contact hours of the lab.  Workload for lecture will be assigned separate from workload for lab.  See </w:t>
            </w:r>
            <w:hyperlink r:id="rId13" w:history="1">
              <w:r w:rsidRPr="0009315B">
                <w:rPr>
                  <w:rStyle w:val="Hyperlink"/>
                  <w:rFonts w:ascii="Arial" w:hAnsi="Arial" w:cs="Arial"/>
                </w:rPr>
                <w:t>Attachment 3</w:t>
              </w:r>
            </w:hyperlink>
            <w:r w:rsidRPr="00FB538F">
              <w:rPr>
                <w:rFonts w:ascii="Arial" w:hAnsi="Arial" w:cs="Arial"/>
              </w:rPr>
              <w:t xml:space="preserve">. Workload for lecture will be based on the credit hours attributed to the lecture.  Workload for labs will be calculated based on contact hours using </w:t>
            </w:r>
            <w:hyperlink r:id="rId14" w:history="1">
              <w:r w:rsidRPr="0009315B">
                <w:rPr>
                  <w:rStyle w:val="Hyperlink"/>
                  <w:rFonts w:ascii="Arial" w:hAnsi="Arial" w:cs="Arial"/>
                </w:rPr>
                <w:t>Attachment 4</w:t>
              </w:r>
            </w:hyperlink>
            <w:r w:rsidRPr="00FB538F">
              <w:rPr>
                <w:rFonts w:ascii="Arial" w:hAnsi="Arial" w:cs="Arial"/>
                <w:color w:val="0070C0"/>
              </w:rPr>
              <w:t xml:space="preserve"> </w:t>
            </w:r>
            <w:r w:rsidRPr="00FB538F">
              <w:rPr>
                <w:rFonts w:ascii="Arial" w:hAnsi="Arial" w:cs="Arial"/>
              </w:rPr>
              <w:t xml:space="preserve">as a framework for the academic unit specific formula. </w:t>
            </w:r>
            <w:r w:rsidR="0064072F">
              <w:rPr>
                <w:rFonts w:ascii="Arial" w:hAnsi="Arial" w:cs="Arial"/>
              </w:rPr>
              <w:br/>
            </w:r>
          </w:p>
          <w:p w:rsidR="00D4589F" w:rsidRPr="005F0BEB" w:rsidRDefault="00D4589F" w:rsidP="00817593">
            <w:pPr>
              <w:pStyle w:val="ListParagraph"/>
              <w:numPr>
                <w:ilvl w:val="0"/>
                <w:numId w:val="1"/>
              </w:numPr>
              <w:spacing w:before="100" w:beforeAutospacing="1" w:after="100" w:afterAutospacing="1"/>
              <w:rPr>
                <w:rStyle w:val="Strong"/>
                <w:rFonts w:ascii="Arial" w:hAnsi="Arial" w:cs="Arial"/>
                <w:b w:val="0"/>
                <w:bCs w:val="0"/>
              </w:rPr>
            </w:pPr>
            <w:r w:rsidRPr="00FB538F">
              <w:rPr>
                <w:rStyle w:val="Strong"/>
                <w:rFonts w:ascii="Arial" w:hAnsi="Arial" w:cs="Arial"/>
              </w:rPr>
              <w:t xml:space="preserve">Individual Instruction. </w:t>
            </w:r>
            <w:r w:rsidRPr="00FB538F">
              <w:rPr>
                <w:rStyle w:val="Strong"/>
                <w:rFonts w:ascii="Arial" w:hAnsi="Arial" w:cs="Arial"/>
                <w:b w:val="0"/>
              </w:rPr>
              <w:t>Individual instruction (instruction codes 3-10 according to PPS 2.01) includes</w:t>
            </w:r>
            <w:r w:rsidR="00AC7751">
              <w:rPr>
                <w:rStyle w:val="Strong"/>
                <w:rFonts w:ascii="Arial" w:hAnsi="Arial" w:cs="Arial"/>
                <w:b w:val="0"/>
              </w:rPr>
              <w:t>,</w:t>
            </w:r>
            <w:r w:rsidRPr="00FB538F">
              <w:rPr>
                <w:rStyle w:val="Strong"/>
                <w:rFonts w:ascii="Arial" w:hAnsi="Arial" w:cs="Arial"/>
                <w:b w:val="0"/>
              </w:rPr>
              <w:t xml:space="preserve"> for example, student teaching </w:t>
            </w:r>
            <w:r w:rsidRPr="001534DF">
              <w:rPr>
                <w:rStyle w:val="Strong"/>
                <w:rFonts w:ascii="Arial" w:hAnsi="Arial" w:cs="Arial"/>
                <w:b w:val="0"/>
              </w:rPr>
              <w:t>supervision, private music lessons, clinical supervision, thesis, dissertation, and</w:t>
            </w:r>
            <w:r w:rsidRPr="00FB538F">
              <w:rPr>
                <w:rStyle w:val="Strong"/>
                <w:rFonts w:ascii="Arial" w:hAnsi="Arial" w:cs="Arial"/>
                <w:b w:val="0"/>
              </w:rPr>
              <w:t xml:space="preserve"> individual instruction. All individual </w:t>
            </w:r>
            <w:r w:rsidRPr="005F0BEB">
              <w:rPr>
                <w:rStyle w:val="Strong"/>
                <w:rFonts w:ascii="Arial" w:hAnsi="Arial" w:cs="Arial"/>
                <w:b w:val="0"/>
              </w:rPr>
              <w:t>instruction workload will be determined by each academic unit and will be based on</w:t>
            </w:r>
            <w:r w:rsidRPr="00FB538F">
              <w:rPr>
                <w:rStyle w:val="Strong"/>
                <w:rFonts w:ascii="Arial" w:hAnsi="Arial" w:cs="Arial"/>
                <w:b w:val="0"/>
              </w:rPr>
              <w:t xml:space="preserve"> course enrollment. </w:t>
            </w:r>
            <w:hyperlink r:id="rId15" w:history="1">
              <w:r w:rsidRPr="0009315B">
                <w:rPr>
                  <w:rStyle w:val="Hyperlink"/>
                  <w:rFonts w:ascii="Arial" w:hAnsi="Arial" w:cs="Arial"/>
                </w:rPr>
                <w:t>Attachment 3</w:t>
              </w:r>
            </w:hyperlink>
            <w:r w:rsidRPr="00FB538F">
              <w:rPr>
                <w:rStyle w:val="Strong"/>
                <w:rFonts w:ascii="Arial" w:hAnsi="Arial" w:cs="Arial"/>
                <w:b w:val="0"/>
                <w:color w:val="0070C0"/>
              </w:rPr>
              <w:t xml:space="preserve"> </w:t>
            </w:r>
            <w:r w:rsidRPr="00FB538F">
              <w:rPr>
                <w:rStyle w:val="Strong"/>
                <w:rFonts w:ascii="Arial" w:hAnsi="Arial" w:cs="Arial"/>
                <w:b w:val="0"/>
              </w:rPr>
              <w:t xml:space="preserve">provides the general guidelines for development of the specific formulas. </w:t>
            </w:r>
            <w:r w:rsidR="009E3D09">
              <w:rPr>
                <w:rStyle w:val="Strong"/>
                <w:rFonts w:ascii="Arial" w:hAnsi="Arial" w:cs="Arial"/>
                <w:b w:val="0"/>
              </w:rPr>
              <w:br/>
            </w:r>
          </w:p>
          <w:p w:rsidR="00D4589F" w:rsidRPr="00FB538F" w:rsidRDefault="00D4589F" w:rsidP="00817593">
            <w:pPr>
              <w:numPr>
                <w:ilvl w:val="0"/>
                <w:numId w:val="1"/>
              </w:numPr>
              <w:spacing w:before="100" w:beforeAutospacing="1" w:after="100" w:afterAutospacing="1"/>
              <w:rPr>
                <w:rFonts w:ascii="Arial" w:hAnsi="Arial" w:cs="Arial"/>
              </w:rPr>
            </w:pPr>
            <w:r>
              <w:rPr>
                <w:rStyle w:val="Strong"/>
                <w:rFonts w:ascii="Arial" w:hAnsi="Arial" w:cs="Arial"/>
              </w:rPr>
              <w:t>Stacked Class</w:t>
            </w:r>
            <w:r w:rsidRPr="005F0BEB">
              <w:rPr>
                <w:rFonts w:ascii="Arial" w:hAnsi="Arial" w:cs="Arial"/>
              </w:rPr>
              <w:t>.</w:t>
            </w:r>
            <w:r w:rsidRPr="00FB538F">
              <w:rPr>
                <w:rFonts w:ascii="Arial" w:hAnsi="Arial" w:cs="Arial"/>
              </w:rPr>
              <w:t xml:space="preserve"> Workload credit for a single class composed of two or more courses or class sections (stacked classes) will be granted only for one class.</w:t>
            </w:r>
          </w:p>
          <w:p w:rsidR="00D4589F" w:rsidRDefault="00D4589F" w:rsidP="00817593">
            <w:pPr>
              <w:pStyle w:val="ListParagraph"/>
              <w:spacing w:before="100" w:beforeAutospacing="1" w:after="100" w:afterAutospacing="1"/>
              <w:rPr>
                <w:rFonts w:ascii="Arial" w:hAnsi="Arial" w:cs="Arial"/>
              </w:rPr>
            </w:pPr>
            <w:r w:rsidRPr="005F0BEB">
              <w:rPr>
                <w:rFonts w:ascii="Arial" w:hAnsi="Arial" w:cs="Arial"/>
              </w:rPr>
              <w:t xml:space="preserve">Paragraphs </w:t>
            </w:r>
            <w:r w:rsidR="009623B3">
              <w:rPr>
                <w:rFonts w:ascii="Arial" w:hAnsi="Arial" w:cs="Arial"/>
              </w:rPr>
              <w:t>21-22</w:t>
            </w:r>
            <w:r w:rsidRPr="005F0BEB">
              <w:rPr>
                <w:rFonts w:ascii="Arial" w:hAnsi="Arial" w:cs="Arial"/>
              </w:rPr>
              <w:t xml:space="preserve"> describe the normal methods for adjusting teaching workload credit. </w:t>
            </w:r>
          </w:p>
          <w:p w:rsidR="009623B3" w:rsidRPr="005F0BEB" w:rsidRDefault="009623B3" w:rsidP="00817593">
            <w:pPr>
              <w:pStyle w:val="ListParagraph"/>
              <w:spacing w:before="100" w:beforeAutospacing="1" w:after="100" w:afterAutospacing="1"/>
              <w:rPr>
                <w:rFonts w:ascii="Arial" w:hAnsi="Arial" w:cs="Arial"/>
              </w:rPr>
            </w:pPr>
          </w:p>
          <w:p w:rsidR="00D4589F" w:rsidRPr="005F0BEB" w:rsidRDefault="00D4589F" w:rsidP="00817593">
            <w:pPr>
              <w:pStyle w:val="ListParagraph"/>
              <w:numPr>
                <w:ilvl w:val="0"/>
                <w:numId w:val="1"/>
              </w:numPr>
              <w:spacing w:before="100" w:beforeAutospacing="1" w:after="100" w:afterAutospacing="1"/>
              <w:rPr>
                <w:rFonts w:ascii="Arial" w:hAnsi="Arial" w:cs="Arial"/>
              </w:rPr>
            </w:pPr>
            <w:r w:rsidRPr="005F0BEB">
              <w:rPr>
                <w:rStyle w:val="Strong"/>
                <w:rFonts w:ascii="Arial" w:hAnsi="Arial" w:cs="Arial"/>
              </w:rPr>
              <w:t>Laboratory Coordination Adjustment</w:t>
            </w:r>
            <w:r w:rsidRPr="005F0BEB">
              <w:rPr>
                <w:rFonts w:ascii="Arial" w:hAnsi="Arial" w:cs="Arial"/>
              </w:rPr>
              <w:t xml:space="preserve">. The chair </w:t>
            </w:r>
            <w:r w:rsidRPr="005F0BEB">
              <w:rPr>
                <w:rStyle w:val="Strong"/>
                <w:rFonts w:ascii="Arial" w:hAnsi="Arial" w:cs="Arial"/>
                <w:b w:val="0"/>
              </w:rPr>
              <w:t>may</w:t>
            </w:r>
            <w:r w:rsidRPr="005F0BEB">
              <w:rPr>
                <w:rStyle w:val="Strong"/>
                <w:rFonts w:ascii="Arial" w:hAnsi="Arial" w:cs="Arial"/>
              </w:rPr>
              <w:t xml:space="preserve"> </w:t>
            </w:r>
            <w:r w:rsidRPr="005F0BEB">
              <w:rPr>
                <w:rFonts w:ascii="Arial" w:hAnsi="Arial" w:cs="Arial"/>
              </w:rPr>
              <w:t xml:space="preserve">grant up to </w:t>
            </w:r>
            <w:r>
              <w:rPr>
                <w:rFonts w:ascii="Arial" w:hAnsi="Arial" w:cs="Arial"/>
              </w:rPr>
              <w:t>six</w:t>
            </w:r>
            <w:r w:rsidRPr="005F0BEB">
              <w:rPr>
                <w:rFonts w:ascii="Arial" w:hAnsi="Arial" w:cs="Arial"/>
              </w:rPr>
              <w:t xml:space="preserve"> workload credits per semester to a faculty member who coordinates multiple sections of laboratories.</w:t>
            </w:r>
            <w:r>
              <w:rPr>
                <w:rFonts w:ascii="Arial" w:hAnsi="Arial" w:cs="Arial"/>
              </w:rPr>
              <w:t xml:space="preserve"> (</w:t>
            </w:r>
            <w:proofErr w:type="gramStart"/>
            <w:r>
              <w:rPr>
                <w:rFonts w:ascii="Arial" w:hAnsi="Arial" w:cs="Arial"/>
              </w:rPr>
              <w:t>see</w:t>
            </w:r>
            <w:proofErr w:type="gramEnd"/>
            <w:r>
              <w:rPr>
                <w:rFonts w:ascii="Arial" w:hAnsi="Arial" w:cs="Arial"/>
              </w:rPr>
              <w:t xml:space="preserve"> </w:t>
            </w:r>
            <w:hyperlink r:id="rId16" w:history="1">
              <w:r w:rsidRPr="0009315B">
                <w:rPr>
                  <w:rStyle w:val="Hyperlink"/>
                  <w:rFonts w:ascii="Arial" w:hAnsi="Arial" w:cs="Arial"/>
                </w:rPr>
                <w:t>Attachment 4</w:t>
              </w:r>
            </w:hyperlink>
            <w:r>
              <w:rPr>
                <w:rFonts w:ascii="Arial" w:hAnsi="Arial" w:cs="Arial"/>
              </w:rPr>
              <w:t>)</w:t>
            </w:r>
            <w:r w:rsidR="009E3D09">
              <w:rPr>
                <w:rFonts w:ascii="Arial" w:hAnsi="Arial" w:cs="Arial"/>
              </w:rPr>
              <w:t>.</w:t>
            </w:r>
            <w:r w:rsidR="009E3D09">
              <w:rPr>
                <w:rFonts w:ascii="Arial" w:hAnsi="Arial" w:cs="Arial"/>
              </w:rPr>
              <w:br/>
            </w:r>
          </w:p>
          <w:p w:rsidR="00D4589F" w:rsidRPr="005F0BEB" w:rsidRDefault="00D4589F" w:rsidP="00817593">
            <w:pPr>
              <w:pStyle w:val="ListParagraph"/>
              <w:numPr>
                <w:ilvl w:val="0"/>
                <w:numId w:val="1"/>
              </w:numPr>
              <w:spacing w:before="100" w:beforeAutospacing="1" w:after="100" w:afterAutospacing="1"/>
              <w:rPr>
                <w:rFonts w:ascii="Arial" w:hAnsi="Arial" w:cs="Arial"/>
              </w:rPr>
            </w:pPr>
            <w:r w:rsidRPr="005F0BEB">
              <w:rPr>
                <w:rStyle w:val="Strong"/>
                <w:rFonts w:ascii="Arial" w:hAnsi="Arial" w:cs="Arial"/>
              </w:rPr>
              <w:t xml:space="preserve">Instructional Adjustment.  </w:t>
            </w:r>
            <w:r w:rsidRPr="005F0BEB">
              <w:rPr>
                <w:rStyle w:val="Strong"/>
                <w:rFonts w:ascii="Arial" w:hAnsi="Arial" w:cs="Arial"/>
                <w:b w:val="0"/>
              </w:rPr>
              <w:t xml:space="preserve">The chair may grant additional workload credit each semester in recognition of the preparation and management of a section of a course when </w:t>
            </w:r>
            <w:r w:rsidRPr="00AE6641">
              <w:rPr>
                <w:rStyle w:val="Strong"/>
                <w:rFonts w:ascii="Arial" w:hAnsi="Arial" w:cs="Arial"/>
                <w:b w:val="0"/>
              </w:rPr>
              <w:t>sufficient</w:t>
            </w:r>
            <w:r w:rsidRPr="005F0BEB">
              <w:rPr>
                <w:rStyle w:val="Strong"/>
                <w:rFonts w:ascii="Arial" w:hAnsi="Arial" w:cs="Arial"/>
                <w:b w:val="0"/>
              </w:rPr>
              <w:t xml:space="preserve"> assistance is not available, e.g. the absence of graduate or undergraduate instructional assistants.</w:t>
            </w:r>
            <w:r w:rsidR="009E3D09">
              <w:rPr>
                <w:rStyle w:val="Strong"/>
                <w:rFonts w:ascii="Arial" w:hAnsi="Arial" w:cs="Arial"/>
                <w:b w:val="0"/>
              </w:rPr>
              <w:br/>
            </w:r>
          </w:p>
          <w:p w:rsidR="00D4589F" w:rsidRPr="00FB538F" w:rsidRDefault="00D4589F" w:rsidP="00817593">
            <w:pPr>
              <w:pStyle w:val="ListParagraph"/>
              <w:spacing w:before="100" w:beforeAutospacing="1" w:after="100" w:afterAutospacing="1"/>
              <w:jc w:val="center"/>
              <w:rPr>
                <w:rStyle w:val="Strong"/>
                <w:rFonts w:ascii="Arial" w:hAnsi="Arial" w:cs="Arial"/>
              </w:rPr>
            </w:pPr>
            <w:r w:rsidRPr="00FB538F">
              <w:rPr>
                <w:rStyle w:val="Strong"/>
                <w:rFonts w:ascii="Arial" w:hAnsi="Arial" w:cs="Arial"/>
              </w:rPr>
              <w:t>WORKLOAD CREDIT FOR OTHER PROFESSIONAL RESPONSIBILITIES</w:t>
            </w:r>
          </w:p>
          <w:p w:rsidR="00D4589F" w:rsidRPr="00FB538F" w:rsidRDefault="00D4589F" w:rsidP="00817593">
            <w:pPr>
              <w:numPr>
                <w:ilvl w:val="0"/>
                <w:numId w:val="1"/>
              </w:numPr>
              <w:spacing w:before="100" w:beforeAutospacing="1" w:after="100" w:afterAutospacing="1"/>
              <w:rPr>
                <w:rFonts w:ascii="Arial" w:hAnsi="Arial" w:cs="Arial"/>
              </w:rPr>
            </w:pPr>
            <w:r w:rsidRPr="00FB538F">
              <w:rPr>
                <w:rFonts w:ascii="Arial" w:hAnsi="Arial" w:cs="Arial"/>
              </w:rPr>
              <w:t xml:space="preserve">Chairs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assign credit to or adjust workload for faculty members for other appropriate professional</w:t>
            </w:r>
            <w:r>
              <w:rPr>
                <w:rFonts w:ascii="Arial" w:hAnsi="Arial" w:cs="Arial"/>
              </w:rPr>
              <w:t xml:space="preserve"> activities and</w:t>
            </w:r>
            <w:r w:rsidRPr="00FB538F">
              <w:rPr>
                <w:rFonts w:ascii="Arial" w:hAnsi="Arial" w:cs="Arial"/>
              </w:rPr>
              <w:t xml:space="preserve"> service</w:t>
            </w:r>
            <w:r>
              <w:rPr>
                <w:rFonts w:ascii="Arial" w:hAnsi="Arial" w:cs="Arial"/>
              </w:rPr>
              <w:t xml:space="preserve"> </w:t>
            </w:r>
            <w:r w:rsidRPr="00FB538F">
              <w:rPr>
                <w:rFonts w:ascii="Arial" w:hAnsi="Arial" w:cs="Arial"/>
              </w:rPr>
              <w:t xml:space="preserve">responsibilities as outlined below. Codes for the equivalent workload credits listed below are contained in </w:t>
            </w:r>
            <w:hyperlink r:id="rId17" w:history="1">
              <w:r w:rsidRPr="00FB538F">
                <w:rPr>
                  <w:rStyle w:val="Hyperlink"/>
                  <w:rFonts w:ascii="Arial" w:hAnsi="Arial" w:cs="Arial"/>
                </w:rPr>
                <w:t>Attachment 2</w:t>
              </w:r>
            </w:hyperlink>
            <w:r w:rsidRPr="00FB538F">
              <w:rPr>
                <w:rFonts w:ascii="Arial" w:hAnsi="Arial" w:cs="Arial"/>
              </w:rPr>
              <w:t>.</w:t>
            </w:r>
          </w:p>
          <w:p w:rsidR="00D4589F" w:rsidRPr="005F0BEB" w:rsidRDefault="00D4589F" w:rsidP="00817593">
            <w:pPr>
              <w:pStyle w:val="ListParagraph"/>
              <w:spacing w:before="100" w:beforeAutospacing="1" w:after="100" w:afterAutospacing="1"/>
              <w:rPr>
                <w:rFonts w:ascii="Arial" w:hAnsi="Arial" w:cs="Arial"/>
              </w:rPr>
            </w:pPr>
            <w:r w:rsidRPr="005F0BEB">
              <w:rPr>
                <w:rFonts w:ascii="Arial" w:hAnsi="Arial" w:cs="Arial"/>
              </w:rPr>
              <w:t xml:space="preserve">Paragraphs </w:t>
            </w:r>
            <w:r w:rsidR="00144E3D">
              <w:rPr>
                <w:rFonts w:ascii="Arial" w:hAnsi="Arial" w:cs="Arial"/>
              </w:rPr>
              <w:t>24-27</w:t>
            </w:r>
            <w:r w:rsidRPr="005F0BEB">
              <w:rPr>
                <w:rFonts w:ascii="Arial" w:hAnsi="Arial" w:cs="Arial"/>
              </w:rPr>
              <w:t xml:space="preserve"> describe the normal methods for assigning workload credit for other professional service responsibilities</w:t>
            </w:r>
            <w:r w:rsidR="00971502">
              <w:rPr>
                <w:rFonts w:ascii="Arial" w:hAnsi="Arial" w:cs="Arial"/>
              </w:rPr>
              <w:t>.</w:t>
            </w:r>
          </w:p>
          <w:p w:rsidR="00D4589F" w:rsidRPr="005F0BEB" w:rsidRDefault="00D4589F" w:rsidP="00817593">
            <w:pPr>
              <w:numPr>
                <w:ilvl w:val="0"/>
                <w:numId w:val="1"/>
              </w:numPr>
              <w:spacing w:before="100" w:beforeAutospacing="1" w:after="100" w:afterAutospacing="1"/>
              <w:rPr>
                <w:rFonts w:ascii="Arial" w:hAnsi="Arial" w:cs="Arial"/>
              </w:rPr>
            </w:pPr>
            <w:r w:rsidRPr="005F0BEB">
              <w:rPr>
                <w:rStyle w:val="Strong"/>
                <w:rFonts w:ascii="Arial" w:hAnsi="Arial" w:cs="Arial"/>
              </w:rPr>
              <w:t xml:space="preserve">Provost Assignment. </w:t>
            </w:r>
            <w:r w:rsidRPr="005F0BEB">
              <w:rPr>
                <w:rFonts w:ascii="Arial" w:hAnsi="Arial" w:cs="Arial"/>
              </w:rPr>
              <w:t xml:space="preserve">The Dean and/or the Provost </w:t>
            </w:r>
            <w:r w:rsidRPr="005F0BEB">
              <w:rPr>
                <w:rStyle w:val="Strong"/>
                <w:rFonts w:ascii="Arial" w:hAnsi="Arial" w:cs="Arial"/>
                <w:b w:val="0"/>
              </w:rPr>
              <w:t>may</w:t>
            </w:r>
            <w:r w:rsidRPr="005F0BEB">
              <w:rPr>
                <w:rStyle w:val="Strong"/>
                <w:rFonts w:ascii="Arial" w:hAnsi="Arial" w:cs="Arial"/>
              </w:rPr>
              <w:t xml:space="preserve"> </w:t>
            </w:r>
            <w:r w:rsidRPr="005F0BEB">
              <w:rPr>
                <w:rFonts w:ascii="Arial" w:hAnsi="Arial" w:cs="Arial"/>
              </w:rPr>
              <w:t>recommend a special assignment leave for a faculty member, chair or dean. With approval from the Provost or President, up to twelve workload units per semester may be granted for special assignments.</w:t>
            </w:r>
            <w:r w:rsidR="0064072F">
              <w:rPr>
                <w:rFonts w:ascii="Arial" w:hAnsi="Arial" w:cs="Arial"/>
              </w:rPr>
              <w:br/>
            </w:r>
          </w:p>
          <w:p w:rsidR="00D4589F" w:rsidRPr="00FB538F" w:rsidRDefault="00D4589F" w:rsidP="00817593">
            <w:pPr>
              <w:numPr>
                <w:ilvl w:val="0"/>
                <w:numId w:val="1"/>
              </w:numPr>
              <w:spacing w:before="100" w:beforeAutospacing="1" w:after="100" w:afterAutospacing="1"/>
              <w:rPr>
                <w:rFonts w:ascii="Arial" w:hAnsi="Arial" w:cs="Arial"/>
              </w:rPr>
            </w:pPr>
            <w:r w:rsidRPr="005F0BEB">
              <w:rPr>
                <w:rStyle w:val="Strong"/>
                <w:rFonts w:ascii="Arial" w:hAnsi="Arial" w:cs="Arial"/>
              </w:rPr>
              <w:t>Associate/Assistant Dean Assignment</w:t>
            </w:r>
            <w:r w:rsidRPr="005F0BEB">
              <w:rPr>
                <w:rFonts w:ascii="Arial" w:hAnsi="Arial" w:cs="Arial"/>
              </w:rPr>
              <w:t>.  Workload credit will be</w:t>
            </w:r>
            <w:r w:rsidRPr="00FB538F">
              <w:rPr>
                <w:rFonts w:ascii="Arial" w:hAnsi="Arial" w:cs="Arial"/>
              </w:rPr>
              <w:t xml:space="preserve"> granted for faculty who serve as an associate or an assistant dean. </w:t>
            </w:r>
            <w:r w:rsidR="0064072F">
              <w:rPr>
                <w:rFonts w:ascii="Arial" w:hAnsi="Arial" w:cs="Arial"/>
              </w:rPr>
              <w:br/>
            </w:r>
          </w:p>
          <w:p w:rsidR="00D4589F" w:rsidRPr="00FB538F" w:rsidRDefault="00D4589F" w:rsidP="00817593">
            <w:pPr>
              <w:numPr>
                <w:ilvl w:val="0"/>
                <w:numId w:val="1"/>
              </w:numPr>
              <w:spacing w:before="100" w:beforeAutospacing="1" w:after="100" w:afterAutospacing="1"/>
              <w:rPr>
                <w:rFonts w:ascii="Arial" w:hAnsi="Arial" w:cs="Arial"/>
              </w:rPr>
            </w:pPr>
            <w:r w:rsidRPr="00FB538F">
              <w:rPr>
                <w:rStyle w:val="Strong"/>
                <w:rFonts w:ascii="Arial" w:hAnsi="Arial" w:cs="Arial"/>
              </w:rPr>
              <w:lastRenderedPageBreak/>
              <w:t xml:space="preserve">Chair Assignment. </w:t>
            </w:r>
            <w:r w:rsidRPr="00FB538F">
              <w:rPr>
                <w:rFonts w:ascii="Arial" w:hAnsi="Arial" w:cs="Arial"/>
              </w:rPr>
              <w:t xml:space="preserve">Workload credit </w:t>
            </w:r>
            <w:r w:rsidRPr="005F0BEB">
              <w:rPr>
                <w:rFonts w:ascii="Arial" w:hAnsi="Arial" w:cs="Arial"/>
              </w:rPr>
              <w:t xml:space="preserve">will </w:t>
            </w:r>
            <w:r w:rsidRPr="00FB538F">
              <w:rPr>
                <w:rFonts w:ascii="Arial" w:hAnsi="Arial" w:cs="Arial"/>
              </w:rPr>
              <w:t xml:space="preserve">be granted for chairing an academic unit on the basis outlined in </w:t>
            </w:r>
            <w:hyperlink r:id="rId18" w:history="1">
              <w:r w:rsidRPr="00FB538F">
                <w:rPr>
                  <w:rStyle w:val="Hyperlink"/>
                  <w:rFonts w:ascii="Arial" w:hAnsi="Arial" w:cs="Arial"/>
                </w:rPr>
                <w:t>PPS 1.03</w:t>
              </w:r>
            </w:hyperlink>
            <w:r w:rsidRPr="00FB538F">
              <w:rPr>
                <w:rFonts w:ascii="Arial" w:hAnsi="Arial" w:cs="Arial"/>
              </w:rPr>
              <w:t>.</w:t>
            </w:r>
            <w:r w:rsidR="0064072F">
              <w:rPr>
                <w:rFonts w:ascii="Arial" w:hAnsi="Arial" w:cs="Arial"/>
              </w:rPr>
              <w:br/>
            </w:r>
          </w:p>
          <w:p w:rsidR="0064072F" w:rsidRPr="009623B3" w:rsidRDefault="00D4589F" w:rsidP="009623B3">
            <w:pPr>
              <w:numPr>
                <w:ilvl w:val="0"/>
                <w:numId w:val="1"/>
              </w:numPr>
              <w:spacing w:before="100" w:beforeAutospacing="1" w:after="100" w:afterAutospacing="1"/>
              <w:rPr>
                <w:rFonts w:ascii="Arial" w:hAnsi="Arial" w:cs="Arial"/>
              </w:rPr>
            </w:pPr>
            <w:r w:rsidRPr="00FB538F">
              <w:rPr>
                <w:rStyle w:val="Strong"/>
                <w:rFonts w:ascii="Arial" w:hAnsi="Arial" w:cs="Arial"/>
              </w:rPr>
              <w:t xml:space="preserve">Program Director/Program Chair Assignment. </w:t>
            </w:r>
            <w:r w:rsidRPr="00FB538F">
              <w:rPr>
                <w:rFonts w:ascii="Arial" w:hAnsi="Arial" w:cs="Arial"/>
              </w:rPr>
              <w:t xml:space="preserve">Workload credit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be granted for a faculty member who directs a program, center, clinic, or similar unit.</w:t>
            </w:r>
            <w:bookmarkStart w:id="0" w:name="_GoBack"/>
            <w:bookmarkEnd w:id="0"/>
          </w:p>
          <w:p w:rsidR="00D4589F" w:rsidRPr="00FB538F" w:rsidRDefault="00D4589F" w:rsidP="00817593">
            <w:pPr>
              <w:pStyle w:val="ListParagraph"/>
              <w:spacing w:before="100" w:beforeAutospacing="1" w:after="100" w:afterAutospacing="1"/>
              <w:rPr>
                <w:rFonts w:ascii="Arial" w:hAnsi="Arial" w:cs="Arial"/>
              </w:rPr>
            </w:pPr>
            <w:r w:rsidRPr="005F0BEB">
              <w:rPr>
                <w:rFonts w:ascii="Arial" w:hAnsi="Arial" w:cs="Arial"/>
              </w:rPr>
              <w:t xml:space="preserve">Paragraphs </w:t>
            </w:r>
            <w:r w:rsidR="00144E3D">
              <w:rPr>
                <w:rFonts w:ascii="Arial" w:hAnsi="Arial" w:cs="Arial"/>
              </w:rPr>
              <w:t xml:space="preserve">28-36 </w:t>
            </w:r>
            <w:r w:rsidRPr="005F0BEB">
              <w:rPr>
                <w:rFonts w:ascii="Arial" w:hAnsi="Arial" w:cs="Arial"/>
              </w:rPr>
              <w:t xml:space="preserve">describe the normal methods for adjusting workload credit for other </w:t>
            </w:r>
            <w:r w:rsidRPr="00AE6641">
              <w:rPr>
                <w:rFonts w:ascii="Arial" w:hAnsi="Arial" w:cs="Arial"/>
              </w:rPr>
              <w:t>professional activities and</w:t>
            </w:r>
            <w:r>
              <w:rPr>
                <w:rFonts w:ascii="Arial" w:hAnsi="Arial" w:cs="Arial"/>
              </w:rPr>
              <w:t xml:space="preserve"> </w:t>
            </w:r>
            <w:r w:rsidRPr="005F0BEB">
              <w:rPr>
                <w:rFonts w:ascii="Arial" w:hAnsi="Arial" w:cs="Arial"/>
              </w:rPr>
              <w:t>service responsibilities.</w:t>
            </w:r>
            <w:r w:rsidRPr="00FB538F">
              <w:rPr>
                <w:rFonts w:ascii="Arial" w:hAnsi="Arial" w:cs="Arial"/>
              </w:rPr>
              <w:t xml:space="preserve">  </w:t>
            </w:r>
          </w:p>
          <w:p w:rsidR="00D4589F" w:rsidRPr="00FB538F" w:rsidRDefault="00D4589F" w:rsidP="00817593">
            <w:pPr>
              <w:numPr>
                <w:ilvl w:val="0"/>
                <w:numId w:val="1"/>
              </w:numPr>
              <w:spacing w:before="100" w:beforeAutospacing="1" w:after="100" w:afterAutospacing="1"/>
              <w:rPr>
                <w:rFonts w:ascii="Arial" w:hAnsi="Arial" w:cs="Arial"/>
              </w:rPr>
            </w:pPr>
            <w:r w:rsidRPr="00FB538F">
              <w:rPr>
                <w:rStyle w:val="Strong"/>
                <w:rFonts w:ascii="Arial" w:hAnsi="Arial" w:cs="Arial"/>
              </w:rPr>
              <w:t>Academic Activity Adjustment</w:t>
            </w:r>
            <w:r w:rsidRPr="00FB538F">
              <w:rPr>
                <w:rFonts w:ascii="Arial" w:hAnsi="Arial" w:cs="Arial"/>
              </w:rPr>
              <w:t xml:space="preserve">. Workload credit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be granted to a faculty member for preparing major documents in the fulfillment of program needs or accreditation requirements. Workload credit may also be granted for duties performed in the best interest of the institution's instructional programs as determined by the Provost.</w:t>
            </w:r>
            <w:r w:rsidR="0064072F">
              <w:rPr>
                <w:rFonts w:ascii="Arial" w:hAnsi="Arial" w:cs="Arial"/>
              </w:rPr>
              <w:br/>
            </w:r>
          </w:p>
          <w:p w:rsidR="00D4589F" w:rsidRPr="00FB538F" w:rsidRDefault="00D4589F" w:rsidP="00817593">
            <w:pPr>
              <w:numPr>
                <w:ilvl w:val="0"/>
                <w:numId w:val="1"/>
              </w:numPr>
              <w:spacing w:before="100" w:beforeAutospacing="1" w:after="100" w:afterAutospacing="1"/>
              <w:rPr>
                <w:rFonts w:ascii="Arial" w:hAnsi="Arial" w:cs="Arial"/>
              </w:rPr>
            </w:pPr>
            <w:r w:rsidRPr="00FB538F">
              <w:rPr>
                <w:rStyle w:val="Strong"/>
                <w:rFonts w:ascii="Arial" w:hAnsi="Arial" w:cs="Arial"/>
              </w:rPr>
              <w:t>Administrative Activity Adjustment</w:t>
            </w:r>
            <w:r w:rsidRPr="00FB538F">
              <w:rPr>
                <w:rFonts w:ascii="Arial" w:hAnsi="Arial" w:cs="Arial"/>
              </w:rPr>
              <w:t xml:space="preserve">. Workload credit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 xml:space="preserve">be granted for a faculty member who chairs certain committees, task forces, the Faculty Senate, or who performs </w:t>
            </w:r>
            <w:r w:rsidRPr="00AE6641">
              <w:rPr>
                <w:rFonts w:ascii="Arial" w:hAnsi="Arial" w:cs="Arial"/>
              </w:rPr>
              <w:t>other significant</w:t>
            </w:r>
            <w:r>
              <w:rPr>
                <w:rFonts w:ascii="Arial" w:hAnsi="Arial" w:cs="Arial"/>
              </w:rPr>
              <w:t xml:space="preserve"> </w:t>
            </w:r>
            <w:r w:rsidRPr="00FB538F">
              <w:rPr>
                <w:rFonts w:ascii="Arial" w:hAnsi="Arial" w:cs="Arial"/>
              </w:rPr>
              <w:t>administrative activities.</w:t>
            </w:r>
            <w:r w:rsidR="0064072F">
              <w:rPr>
                <w:rFonts w:ascii="Arial" w:hAnsi="Arial" w:cs="Arial"/>
              </w:rPr>
              <w:br/>
            </w:r>
          </w:p>
          <w:p w:rsidR="00D4589F" w:rsidRPr="005F0BEB" w:rsidRDefault="00D4589F" w:rsidP="00817593">
            <w:pPr>
              <w:numPr>
                <w:ilvl w:val="0"/>
                <w:numId w:val="1"/>
              </w:numPr>
              <w:spacing w:before="100" w:beforeAutospacing="1" w:after="100" w:afterAutospacing="1"/>
              <w:rPr>
                <w:rFonts w:ascii="Arial" w:hAnsi="Arial" w:cs="Arial"/>
              </w:rPr>
            </w:pPr>
            <w:r w:rsidRPr="005F0BEB">
              <w:rPr>
                <w:rStyle w:val="Strong"/>
                <w:rFonts w:ascii="Arial" w:hAnsi="Arial" w:cs="Arial"/>
              </w:rPr>
              <w:t>Academic Advising Adjustment</w:t>
            </w:r>
            <w:r w:rsidRPr="005F0BEB">
              <w:rPr>
                <w:rFonts w:ascii="Arial" w:hAnsi="Arial" w:cs="Arial"/>
              </w:rPr>
              <w:t xml:space="preserve">. Workload credit </w:t>
            </w:r>
            <w:r w:rsidRPr="005F0BEB">
              <w:rPr>
                <w:rStyle w:val="Strong"/>
                <w:rFonts w:ascii="Arial" w:hAnsi="Arial" w:cs="Arial"/>
                <w:b w:val="0"/>
              </w:rPr>
              <w:t>may</w:t>
            </w:r>
            <w:r w:rsidRPr="005F0BEB">
              <w:rPr>
                <w:rStyle w:val="Strong"/>
                <w:rFonts w:ascii="Arial" w:hAnsi="Arial" w:cs="Arial"/>
              </w:rPr>
              <w:t xml:space="preserve"> </w:t>
            </w:r>
            <w:r w:rsidRPr="005F0BEB">
              <w:rPr>
                <w:rFonts w:ascii="Arial" w:hAnsi="Arial" w:cs="Arial"/>
              </w:rPr>
              <w:t>be granted for major academic advising responsibilities.</w:t>
            </w:r>
            <w:r w:rsidR="0064072F">
              <w:rPr>
                <w:rFonts w:ascii="Arial" w:hAnsi="Arial" w:cs="Arial"/>
              </w:rPr>
              <w:br/>
            </w:r>
          </w:p>
          <w:p w:rsidR="00D4589F" w:rsidRPr="005F0BEB" w:rsidRDefault="00D4589F" w:rsidP="00817593">
            <w:pPr>
              <w:numPr>
                <w:ilvl w:val="0"/>
                <w:numId w:val="1"/>
              </w:numPr>
              <w:spacing w:before="100" w:beforeAutospacing="1" w:after="100" w:afterAutospacing="1"/>
              <w:rPr>
                <w:rFonts w:ascii="Arial" w:hAnsi="Arial" w:cs="Arial"/>
              </w:rPr>
            </w:pPr>
            <w:r w:rsidRPr="005F0BEB">
              <w:rPr>
                <w:rStyle w:val="Strong"/>
                <w:rFonts w:ascii="Arial" w:hAnsi="Arial" w:cs="Arial"/>
              </w:rPr>
              <w:t>Developmental Leave Adjustment</w:t>
            </w:r>
            <w:r w:rsidRPr="005F0BEB">
              <w:rPr>
                <w:rFonts w:ascii="Arial" w:hAnsi="Arial" w:cs="Arial"/>
              </w:rPr>
              <w:t xml:space="preserve">. Up to twelve workload credits per semester </w:t>
            </w:r>
            <w:r w:rsidRPr="005F0BEB">
              <w:rPr>
                <w:rStyle w:val="Strong"/>
                <w:rFonts w:ascii="Arial" w:hAnsi="Arial" w:cs="Arial"/>
                <w:b w:val="0"/>
              </w:rPr>
              <w:t>may</w:t>
            </w:r>
            <w:r w:rsidRPr="005F0BEB">
              <w:rPr>
                <w:rStyle w:val="Strong"/>
                <w:rFonts w:ascii="Arial" w:hAnsi="Arial" w:cs="Arial"/>
              </w:rPr>
              <w:t xml:space="preserve"> </w:t>
            </w:r>
            <w:r w:rsidRPr="005F0BEB">
              <w:rPr>
                <w:rFonts w:ascii="Arial" w:hAnsi="Arial" w:cs="Arial"/>
              </w:rPr>
              <w:t>be assigned to a faculty member who is awarded a Faculty Developmental Leave by the Board of Regents.</w:t>
            </w:r>
            <w:r w:rsidR="0064072F">
              <w:rPr>
                <w:rFonts w:ascii="Arial" w:hAnsi="Arial" w:cs="Arial"/>
              </w:rPr>
              <w:br/>
            </w:r>
          </w:p>
          <w:p w:rsidR="00D4589F" w:rsidRPr="00FB538F" w:rsidRDefault="00D4589F" w:rsidP="00817593">
            <w:pPr>
              <w:numPr>
                <w:ilvl w:val="0"/>
                <w:numId w:val="1"/>
              </w:numPr>
              <w:spacing w:before="100" w:beforeAutospacing="1" w:after="100" w:afterAutospacing="1"/>
              <w:rPr>
                <w:rFonts w:ascii="Arial" w:hAnsi="Arial" w:cs="Arial"/>
              </w:rPr>
            </w:pPr>
            <w:r w:rsidRPr="00FB538F">
              <w:rPr>
                <w:rStyle w:val="Strong"/>
                <w:rFonts w:ascii="Arial" w:hAnsi="Arial" w:cs="Arial"/>
              </w:rPr>
              <w:t>Professional Activity Adjustment</w:t>
            </w:r>
            <w:r w:rsidRPr="00FB538F">
              <w:rPr>
                <w:rFonts w:ascii="Arial" w:hAnsi="Arial" w:cs="Arial"/>
              </w:rPr>
              <w:t xml:space="preserve">. Workload credit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be granted for professional activities such as</w:t>
            </w:r>
            <w:r>
              <w:rPr>
                <w:rFonts w:ascii="Arial" w:hAnsi="Arial" w:cs="Arial"/>
              </w:rPr>
              <w:t xml:space="preserve"> editing a professional journal</w:t>
            </w:r>
            <w:r w:rsidRPr="00FB538F">
              <w:rPr>
                <w:rFonts w:ascii="Arial" w:hAnsi="Arial" w:cs="Arial"/>
              </w:rPr>
              <w:t xml:space="preserve"> or serving as an officer in a professional organization.</w:t>
            </w:r>
            <w:r w:rsidR="0064072F">
              <w:rPr>
                <w:rFonts w:ascii="Arial" w:hAnsi="Arial" w:cs="Arial"/>
              </w:rPr>
              <w:br/>
            </w:r>
          </w:p>
          <w:p w:rsidR="00D4589F" w:rsidRPr="00FB538F" w:rsidRDefault="00D4589F" w:rsidP="00817593">
            <w:pPr>
              <w:numPr>
                <w:ilvl w:val="0"/>
                <w:numId w:val="1"/>
              </w:numPr>
              <w:spacing w:before="100" w:beforeAutospacing="1" w:after="100" w:afterAutospacing="1"/>
              <w:rPr>
                <w:rFonts w:ascii="Arial" w:hAnsi="Arial" w:cs="Arial"/>
              </w:rPr>
            </w:pPr>
            <w:r w:rsidRPr="00FB538F">
              <w:rPr>
                <w:rStyle w:val="Strong"/>
                <w:rFonts w:ascii="Arial" w:hAnsi="Arial" w:cs="Arial"/>
              </w:rPr>
              <w:t>Research/Grant Activity Adjustment</w:t>
            </w:r>
            <w:r w:rsidRPr="00FB538F">
              <w:rPr>
                <w:rFonts w:ascii="Arial" w:hAnsi="Arial" w:cs="Arial"/>
              </w:rPr>
              <w:t xml:space="preserve">. Workload credit </w:t>
            </w:r>
            <w:r w:rsidRPr="005F0BEB">
              <w:rPr>
                <w:rStyle w:val="Strong"/>
                <w:rFonts w:ascii="Arial" w:hAnsi="Arial" w:cs="Arial"/>
                <w:b w:val="0"/>
              </w:rPr>
              <w:t>may</w:t>
            </w:r>
            <w:r w:rsidRPr="00FB538F">
              <w:rPr>
                <w:rStyle w:val="Strong"/>
                <w:rFonts w:ascii="Arial" w:hAnsi="Arial" w:cs="Arial"/>
              </w:rPr>
              <w:t xml:space="preserve"> </w:t>
            </w:r>
            <w:r w:rsidRPr="00FB538F">
              <w:rPr>
                <w:rFonts w:ascii="Arial" w:hAnsi="Arial" w:cs="Arial"/>
              </w:rPr>
              <w:t xml:space="preserve">be granted </w:t>
            </w:r>
            <w:r w:rsidRPr="00AE6641">
              <w:rPr>
                <w:rFonts w:ascii="Arial" w:hAnsi="Arial" w:cs="Arial"/>
              </w:rPr>
              <w:t>to a faculty member who is</w:t>
            </w:r>
            <w:r w:rsidRPr="00FB538F">
              <w:rPr>
                <w:rFonts w:ascii="Arial" w:hAnsi="Arial" w:cs="Arial"/>
              </w:rPr>
              <w:t xml:space="preserve"> participating in major research or grant related activities.</w:t>
            </w:r>
            <w:r w:rsidR="0064072F">
              <w:rPr>
                <w:rFonts w:ascii="Arial" w:hAnsi="Arial" w:cs="Arial"/>
              </w:rPr>
              <w:br/>
            </w:r>
          </w:p>
          <w:p w:rsidR="00D4589F" w:rsidRPr="00FB538F" w:rsidRDefault="00D4589F" w:rsidP="00817593">
            <w:pPr>
              <w:numPr>
                <w:ilvl w:val="0"/>
                <w:numId w:val="1"/>
              </w:numPr>
              <w:spacing w:before="100" w:beforeAutospacing="1" w:after="100" w:afterAutospacing="1"/>
              <w:rPr>
                <w:rFonts w:ascii="Arial" w:hAnsi="Arial" w:cs="Arial"/>
              </w:rPr>
            </w:pPr>
            <w:r w:rsidRPr="00FB538F">
              <w:rPr>
                <w:rStyle w:val="Strong"/>
                <w:rFonts w:ascii="Arial" w:hAnsi="Arial" w:cs="Arial"/>
              </w:rPr>
              <w:t xml:space="preserve">Research Buy Out </w:t>
            </w:r>
            <w:r w:rsidRPr="00AE6641">
              <w:rPr>
                <w:rStyle w:val="Strong"/>
                <w:rFonts w:ascii="Arial" w:hAnsi="Arial" w:cs="Arial"/>
              </w:rPr>
              <w:t>Adjustment</w:t>
            </w:r>
            <w:r w:rsidRPr="00AE6641">
              <w:rPr>
                <w:rFonts w:ascii="Arial" w:hAnsi="Arial" w:cs="Arial"/>
              </w:rPr>
              <w:t>.  Workload credit will be granted to a faculty member who</w:t>
            </w:r>
            <w:r w:rsidRPr="00FB538F">
              <w:rPr>
                <w:rFonts w:ascii="Arial" w:hAnsi="Arial" w:cs="Arial"/>
              </w:rPr>
              <w:t xml:space="preserve"> has secured external funding to pay for a portion of his/her salary and thus “buy out” time.  </w:t>
            </w:r>
            <w:r w:rsidR="0064072F">
              <w:rPr>
                <w:rFonts w:ascii="Arial" w:hAnsi="Arial" w:cs="Arial"/>
              </w:rPr>
              <w:br/>
            </w:r>
          </w:p>
          <w:p w:rsidR="00C43376" w:rsidRDefault="00D4589F" w:rsidP="00C43376">
            <w:pPr>
              <w:pStyle w:val="ListParagraph"/>
              <w:numPr>
                <w:ilvl w:val="0"/>
                <w:numId w:val="1"/>
              </w:numPr>
              <w:spacing w:after="240"/>
              <w:rPr>
                <w:rFonts w:ascii="Arial" w:hAnsi="Arial" w:cs="Arial"/>
                <w:b/>
              </w:rPr>
            </w:pPr>
            <w:r w:rsidRPr="005F0BEB">
              <w:rPr>
                <w:rFonts w:ascii="Arial" w:hAnsi="Arial" w:cs="Arial"/>
                <w:b/>
              </w:rPr>
              <w:t xml:space="preserve">Graduate Mentoring Adjustment.  </w:t>
            </w:r>
            <w:r w:rsidRPr="005F0BEB">
              <w:rPr>
                <w:rFonts w:ascii="Arial" w:hAnsi="Arial" w:cs="Arial"/>
              </w:rPr>
              <w:t>Workload credit may be granted to faculty participating in graduate research mentoring</w:t>
            </w:r>
            <w:r>
              <w:rPr>
                <w:rFonts w:ascii="Arial" w:hAnsi="Arial" w:cs="Arial"/>
              </w:rPr>
              <w:t>, such as multiple these</w:t>
            </w:r>
            <w:r w:rsidRPr="005F0BEB">
              <w:rPr>
                <w:rFonts w:ascii="Arial" w:hAnsi="Arial" w:cs="Arial"/>
              </w:rPr>
              <w:t>s, dissertation</w:t>
            </w:r>
            <w:r>
              <w:rPr>
                <w:rFonts w:ascii="Arial" w:hAnsi="Arial" w:cs="Arial"/>
              </w:rPr>
              <w:t>s,</w:t>
            </w:r>
            <w:r w:rsidRPr="005F0BEB">
              <w:rPr>
                <w:rFonts w:ascii="Arial" w:hAnsi="Arial" w:cs="Arial"/>
              </w:rPr>
              <w:t xml:space="preserve"> </w:t>
            </w:r>
            <w:r>
              <w:rPr>
                <w:rFonts w:ascii="Arial" w:hAnsi="Arial" w:cs="Arial"/>
              </w:rPr>
              <w:t xml:space="preserve">or projects, </w:t>
            </w:r>
            <w:r w:rsidRPr="00AE6641">
              <w:rPr>
                <w:rFonts w:ascii="Arial" w:hAnsi="Arial" w:cs="Arial"/>
              </w:rPr>
              <w:t>and who is not the instructor of record.</w:t>
            </w:r>
            <w:r w:rsidR="0064072F">
              <w:rPr>
                <w:rFonts w:ascii="Arial" w:hAnsi="Arial" w:cs="Arial"/>
              </w:rPr>
              <w:br/>
            </w:r>
          </w:p>
          <w:p w:rsidR="00D4589F" w:rsidRPr="00C43376" w:rsidRDefault="0064072F" w:rsidP="00C43376">
            <w:pPr>
              <w:pStyle w:val="ListParagraph"/>
              <w:numPr>
                <w:ilvl w:val="0"/>
                <w:numId w:val="1"/>
              </w:numPr>
              <w:spacing w:after="240"/>
              <w:rPr>
                <w:rFonts w:ascii="Arial" w:hAnsi="Arial" w:cs="Arial"/>
                <w:b/>
              </w:rPr>
            </w:pPr>
            <w:r>
              <w:rPr>
                <w:rStyle w:val="Strong"/>
                <w:rFonts w:ascii="Arial" w:hAnsi="Arial" w:cs="Arial"/>
              </w:rPr>
              <w:t>Emergency/Work L</w:t>
            </w:r>
            <w:r w:rsidR="00D4589F" w:rsidRPr="00C43376">
              <w:rPr>
                <w:rStyle w:val="Strong"/>
                <w:rFonts w:ascii="Arial" w:hAnsi="Arial" w:cs="Arial"/>
              </w:rPr>
              <w:t xml:space="preserve">ife Workload Adjustment. </w:t>
            </w:r>
            <w:r w:rsidR="00D4589F" w:rsidRPr="00C43376">
              <w:rPr>
                <w:rFonts w:ascii="Arial" w:hAnsi="Arial" w:cs="Arial"/>
                <w:color w:val="000000"/>
              </w:rPr>
              <w:t xml:space="preserve">Teaching loads may fluctuate because of illness, sudden emergencies, care of a newborn child or an adopted or foster child younger than five, or other family member in need of such care, and other unanticipated needs, which may require a faculty member to request a lighter load. All temporary exceptions to the basic teaching load policy must be in writing, and must carry the approval of the chair and the dean with a copy to </w:t>
            </w:r>
            <w:r w:rsidR="00D4589F" w:rsidRPr="00C43376">
              <w:rPr>
                <w:rFonts w:ascii="Arial" w:hAnsi="Arial" w:cs="Arial"/>
                <w:color w:val="000000"/>
              </w:rPr>
              <w:lastRenderedPageBreak/>
              <w:t>the Provost.</w:t>
            </w:r>
            <w:r>
              <w:rPr>
                <w:rFonts w:ascii="Arial" w:hAnsi="Arial" w:cs="Arial"/>
                <w:color w:val="000000"/>
              </w:rPr>
              <w:br/>
            </w:r>
          </w:p>
          <w:p w:rsidR="00D4589F" w:rsidRPr="00FB538F" w:rsidRDefault="00D4589F" w:rsidP="00817593">
            <w:pPr>
              <w:pStyle w:val="ListParagraph"/>
              <w:spacing w:after="240"/>
              <w:jc w:val="center"/>
              <w:rPr>
                <w:rStyle w:val="Strong"/>
                <w:rFonts w:ascii="Arial" w:hAnsi="Arial" w:cs="Arial"/>
              </w:rPr>
            </w:pPr>
            <w:r w:rsidRPr="00FB538F">
              <w:rPr>
                <w:rStyle w:val="Strong"/>
                <w:rFonts w:ascii="Arial" w:hAnsi="Arial" w:cs="Arial"/>
              </w:rPr>
              <w:t>WORKLOAD CALCULATION AND REPORTING</w:t>
            </w:r>
            <w:r w:rsidR="0064072F">
              <w:rPr>
                <w:rStyle w:val="Strong"/>
                <w:rFonts w:ascii="Arial" w:hAnsi="Arial" w:cs="Arial"/>
              </w:rPr>
              <w:br/>
            </w:r>
          </w:p>
          <w:p w:rsidR="00C43376" w:rsidRPr="00C43376" w:rsidRDefault="00D4589F" w:rsidP="00C43376">
            <w:pPr>
              <w:pStyle w:val="ListParagraph"/>
              <w:numPr>
                <w:ilvl w:val="0"/>
                <w:numId w:val="1"/>
              </w:numPr>
              <w:spacing w:before="100" w:beforeAutospacing="1" w:after="100" w:afterAutospacing="1"/>
              <w:rPr>
                <w:rFonts w:ascii="Arial" w:hAnsi="Arial" w:cs="Arial"/>
              </w:rPr>
            </w:pPr>
            <w:r>
              <w:rPr>
                <w:rFonts w:ascii="Arial" w:hAnsi="Arial" w:cs="Arial"/>
                <w:color w:val="000000"/>
              </w:rPr>
              <w:t xml:space="preserve">The </w:t>
            </w:r>
            <w:r w:rsidRPr="00FB538F">
              <w:rPr>
                <w:rFonts w:ascii="Arial" w:hAnsi="Arial" w:cs="Arial"/>
                <w:color w:val="000000"/>
              </w:rPr>
              <w:t xml:space="preserve">Faculty Records Office will distribute the workload report for review and completion by </w:t>
            </w:r>
            <w:r>
              <w:rPr>
                <w:rFonts w:ascii="Arial" w:hAnsi="Arial" w:cs="Arial"/>
                <w:color w:val="000000"/>
              </w:rPr>
              <w:t>chairs</w:t>
            </w:r>
            <w:r w:rsidRPr="00FB538F">
              <w:rPr>
                <w:rFonts w:ascii="Arial" w:hAnsi="Arial" w:cs="Arial"/>
                <w:color w:val="000000"/>
              </w:rPr>
              <w:t xml:space="preserve"> following the 12</w:t>
            </w:r>
            <w:r w:rsidRPr="00FB538F">
              <w:rPr>
                <w:rFonts w:ascii="Arial" w:hAnsi="Arial" w:cs="Arial"/>
                <w:color w:val="000000"/>
                <w:vertAlign w:val="superscript"/>
              </w:rPr>
              <w:t>th</w:t>
            </w:r>
            <w:r w:rsidRPr="00FB538F">
              <w:rPr>
                <w:rFonts w:ascii="Arial" w:hAnsi="Arial" w:cs="Arial"/>
                <w:color w:val="000000"/>
              </w:rPr>
              <w:t xml:space="preserve"> semester day. </w:t>
            </w:r>
            <w:r w:rsidR="0064072F">
              <w:rPr>
                <w:rFonts w:ascii="Arial" w:hAnsi="Arial" w:cs="Arial"/>
                <w:color w:val="000000"/>
              </w:rPr>
              <w:br/>
            </w:r>
          </w:p>
          <w:p w:rsidR="00C43376" w:rsidRPr="0064072F" w:rsidRDefault="00C43376" w:rsidP="0064072F">
            <w:pPr>
              <w:pStyle w:val="ListParagraph"/>
              <w:numPr>
                <w:ilvl w:val="0"/>
                <w:numId w:val="1"/>
              </w:numPr>
              <w:spacing w:before="100" w:beforeAutospacing="1" w:after="100" w:afterAutospacing="1"/>
              <w:rPr>
                <w:rFonts w:ascii="Arial" w:hAnsi="Arial" w:cs="Arial"/>
              </w:rPr>
            </w:pPr>
            <w:r>
              <w:rPr>
                <w:rFonts w:ascii="Arial" w:hAnsi="Arial" w:cs="Arial"/>
              </w:rPr>
              <w:t xml:space="preserve">The final internal </w:t>
            </w:r>
            <w:r w:rsidR="00D4589F" w:rsidRPr="00C43376">
              <w:rPr>
                <w:rFonts w:ascii="Arial" w:hAnsi="Arial" w:cs="Arial"/>
                <w:color w:val="000000"/>
              </w:rPr>
              <w:t xml:space="preserve">workload report will be distributed to deans and the Faculty Senate; deans will distribute to chairs. At that time the chair will provide each faculty member with a copy of his/her workload report.  A copy of the entire academic unit report or a summary report will be provided by the chair to the academic unit personnel committee. </w:t>
            </w:r>
          </w:p>
          <w:p w:rsidR="00C43376" w:rsidRPr="00FB538F" w:rsidRDefault="00C43376" w:rsidP="00817593">
            <w:pPr>
              <w:pStyle w:val="ListParagraph"/>
              <w:tabs>
                <w:tab w:val="left" w:pos="9360"/>
              </w:tabs>
              <w:autoSpaceDE w:val="0"/>
              <w:autoSpaceDN w:val="0"/>
              <w:adjustRightInd w:val="0"/>
              <w:ind w:right="882"/>
              <w:jc w:val="both"/>
              <w:rPr>
                <w:rFonts w:ascii="Arial" w:hAnsi="Arial" w:cs="Arial"/>
                <w:b/>
              </w:rPr>
            </w:pPr>
          </w:p>
        </w:tc>
      </w:tr>
      <w:tr w:rsidR="00D4589F" w:rsidRPr="00FB538F" w:rsidTr="0064072F">
        <w:trPr>
          <w:tblCellSpacing w:w="15" w:type="dxa"/>
        </w:trPr>
        <w:tc>
          <w:tcPr>
            <w:tcW w:w="4968" w:type="pct"/>
            <w:vAlign w:val="center"/>
          </w:tcPr>
          <w:p w:rsidR="00D4589F" w:rsidRPr="00FB538F" w:rsidRDefault="00D4589F" w:rsidP="00817593">
            <w:pPr>
              <w:spacing w:after="240"/>
              <w:jc w:val="center"/>
              <w:rPr>
                <w:rFonts w:ascii="Arial" w:hAnsi="Arial" w:cs="Arial"/>
              </w:rPr>
            </w:pPr>
            <w:r w:rsidRPr="00FB538F">
              <w:rPr>
                <w:rStyle w:val="Strong"/>
                <w:rFonts w:ascii="Arial" w:hAnsi="Arial" w:cs="Arial"/>
              </w:rPr>
              <w:lastRenderedPageBreak/>
              <w:t>CERTIFICATION STATEMENT</w:t>
            </w:r>
          </w:p>
        </w:tc>
      </w:tr>
      <w:tr w:rsidR="00D4589F" w:rsidRPr="00FB538F" w:rsidTr="0064072F">
        <w:trPr>
          <w:tblCellSpacing w:w="15" w:type="dxa"/>
        </w:trPr>
        <w:tc>
          <w:tcPr>
            <w:tcW w:w="4968" w:type="pct"/>
            <w:vAlign w:val="center"/>
          </w:tcPr>
          <w:p w:rsidR="00D4589F" w:rsidRPr="00FB538F" w:rsidRDefault="00D4589F" w:rsidP="00817593">
            <w:pPr>
              <w:pStyle w:val="ListParagraph"/>
              <w:numPr>
                <w:ilvl w:val="0"/>
                <w:numId w:val="1"/>
              </w:numPr>
              <w:spacing w:before="100" w:beforeAutospacing="1" w:after="100" w:afterAutospacing="1"/>
              <w:rPr>
                <w:rFonts w:ascii="Arial" w:hAnsi="Arial" w:cs="Arial"/>
              </w:rPr>
            </w:pPr>
            <w:r w:rsidRPr="00FB538F">
              <w:rPr>
                <w:rFonts w:ascii="Arial" w:hAnsi="Arial" w:cs="Arial"/>
              </w:rPr>
              <w:t>This PPS has been approved by the reviewer listed below and represents Texas State's Division of Academic Affairs policy and procedure from the date of this document until superseded.</w:t>
            </w:r>
          </w:p>
        </w:tc>
      </w:tr>
      <w:tr w:rsidR="00D4589F" w:rsidRPr="00FB538F" w:rsidTr="0064072F">
        <w:trPr>
          <w:tblCellSpacing w:w="15" w:type="dxa"/>
        </w:trPr>
        <w:tc>
          <w:tcPr>
            <w:tcW w:w="4968" w:type="pct"/>
            <w:vAlign w:val="center"/>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6"/>
              <w:gridCol w:w="4172"/>
              <w:gridCol w:w="4172"/>
            </w:tblGrid>
            <w:tr w:rsidR="00D4589F" w:rsidRPr="00FB538F" w:rsidTr="00817593">
              <w:trPr>
                <w:tblCellSpacing w:w="0" w:type="dxa"/>
                <w:jc w:val="center"/>
              </w:trPr>
              <w:tc>
                <w:tcPr>
                  <w:tcW w:w="0" w:type="auto"/>
                  <w:gridSpan w:val="2"/>
                  <w:vAlign w:val="center"/>
                  <w:hideMark/>
                </w:tcPr>
                <w:p w:rsidR="00D4589F" w:rsidRPr="00FB538F" w:rsidRDefault="00D4589F" w:rsidP="00817593">
                  <w:pPr>
                    <w:rPr>
                      <w:rFonts w:ascii="Arial" w:hAnsi="Arial" w:cs="Arial"/>
                    </w:rPr>
                  </w:pPr>
                  <w:r w:rsidRPr="00FB538F">
                    <w:rPr>
                      <w:rFonts w:ascii="Arial" w:hAnsi="Arial" w:cs="Arial"/>
                    </w:rPr>
                    <w:t>Review Cycle: _____________________________</w:t>
                  </w:r>
                </w:p>
              </w:tc>
              <w:tc>
                <w:tcPr>
                  <w:tcW w:w="2250" w:type="pct"/>
                  <w:vAlign w:val="center"/>
                  <w:hideMark/>
                </w:tcPr>
                <w:p w:rsidR="00D4589F" w:rsidRPr="00FB538F" w:rsidRDefault="00D4589F" w:rsidP="00817593">
                  <w:pPr>
                    <w:rPr>
                      <w:rFonts w:ascii="Arial" w:hAnsi="Arial" w:cs="Arial"/>
                    </w:rPr>
                  </w:pPr>
                  <w:r w:rsidRPr="00FB538F">
                    <w:rPr>
                      <w:rFonts w:ascii="Arial" w:hAnsi="Arial" w:cs="Arial"/>
                    </w:rPr>
                    <w:t>Review Date: _______________________</w:t>
                  </w:r>
                </w:p>
              </w:tc>
            </w:tr>
            <w:tr w:rsidR="00D4589F" w:rsidRPr="00FB538F" w:rsidTr="00817593">
              <w:trPr>
                <w:tblCellSpacing w:w="0" w:type="dxa"/>
                <w:jc w:val="center"/>
              </w:trPr>
              <w:tc>
                <w:tcPr>
                  <w:tcW w:w="0" w:type="auto"/>
                  <w:gridSpan w:val="2"/>
                  <w:vAlign w:val="center"/>
                  <w:hideMark/>
                </w:tcPr>
                <w:p w:rsidR="00D4589F" w:rsidRPr="00FB538F" w:rsidRDefault="00D4589F" w:rsidP="00817593">
                  <w:pPr>
                    <w:rPr>
                      <w:rFonts w:ascii="Arial" w:hAnsi="Arial" w:cs="Arial"/>
                    </w:rPr>
                  </w:pPr>
                  <w:r w:rsidRPr="00FB538F">
                    <w:rPr>
                      <w:rFonts w:ascii="Arial" w:hAnsi="Arial" w:cs="Arial"/>
                    </w:rPr>
                    <w:t xml:space="preserve">Reviewer: </w:t>
                  </w:r>
                  <w:r>
                    <w:rPr>
                      <w:rFonts w:ascii="Arial" w:hAnsi="Arial" w:cs="Arial"/>
                    </w:rPr>
                    <w:t>_______________________________</w:t>
                  </w:r>
                </w:p>
              </w:tc>
              <w:tc>
                <w:tcPr>
                  <w:tcW w:w="0" w:type="auto"/>
                  <w:vAlign w:val="center"/>
                  <w:hideMark/>
                </w:tcPr>
                <w:p w:rsidR="00D4589F" w:rsidRPr="00FB538F" w:rsidRDefault="00D4589F" w:rsidP="00817593">
                  <w:pPr>
                    <w:rPr>
                      <w:rFonts w:ascii="Arial" w:hAnsi="Arial" w:cs="Arial"/>
                    </w:rPr>
                  </w:pPr>
                  <w:r w:rsidRPr="00FB538F">
                    <w:rPr>
                      <w:rFonts w:ascii="Arial" w:hAnsi="Arial" w:cs="Arial"/>
                    </w:rPr>
                    <w:t>Date: _____________________________</w:t>
                  </w:r>
                </w:p>
              </w:tc>
            </w:tr>
            <w:tr w:rsidR="00D4589F" w:rsidRPr="00FB538F" w:rsidTr="00817593">
              <w:trPr>
                <w:tblCellSpacing w:w="0" w:type="dxa"/>
                <w:jc w:val="center"/>
              </w:trPr>
              <w:tc>
                <w:tcPr>
                  <w:tcW w:w="0" w:type="auto"/>
                  <w:gridSpan w:val="2"/>
                  <w:vAlign w:val="center"/>
                  <w:hideMark/>
                </w:tcPr>
                <w:p w:rsidR="00D4589F" w:rsidRPr="00FB538F" w:rsidRDefault="00D4589F" w:rsidP="00817593">
                  <w:pPr>
                    <w:rPr>
                      <w:rFonts w:ascii="Arial" w:hAnsi="Arial" w:cs="Arial"/>
                    </w:rPr>
                  </w:pPr>
                  <w:r w:rsidRPr="00FB538F">
                    <w:rPr>
                      <w:rFonts w:ascii="Arial" w:hAnsi="Arial" w:cs="Arial"/>
                    </w:rPr>
                    <w:t xml:space="preserve">Approved: </w:t>
                  </w:r>
                  <w:r>
                    <w:rPr>
                      <w:rFonts w:ascii="Arial" w:hAnsi="Arial" w:cs="Arial"/>
                    </w:rPr>
                    <w:t>_______________________________</w:t>
                  </w:r>
                </w:p>
              </w:tc>
              <w:tc>
                <w:tcPr>
                  <w:tcW w:w="0" w:type="auto"/>
                  <w:vAlign w:val="center"/>
                  <w:hideMark/>
                </w:tcPr>
                <w:p w:rsidR="00D4589F" w:rsidRPr="00FB538F" w:rsidRDefault="00D4589F" w:rsidP="00817593">
                  <w:pPr>
                    <w:rPr>
                      <w:rFonts w:ascii="Arial" w:hAnsi="Arial" w:cs="Arial"/>
                    </w:rPr>
                  </w:pPr>
                  <w:r w:rsidRPr="00FB538F">
                    <w:rPr>
                      <w:rFonts w:ascii="Arial" w:hAnsi="Arial" w:cs="Arial"/>
                    </w:rPr>
                    <w:t>Date: _____________________________</w:t>
                  </w:r>
                </w:p>
              </w:tc>
            </w:tr>
            <w:tr w:rsidR="00D4589F" w:rsidRPr="00FB538F" w:rsidTr="00817593">
              <w:trPr>
                <w:tblCellSpacing w:w="0" w:type="dxa"/>
                <w:jc w:val="center"/>
              </w:trPr>
              <w:tc>
                <w:tcPr>
                  <w:tcW w:w="500" w:type="pct"/>
                  <w:vAlign w:val="center"/>
                  <w:hideMark/>
                </w:tcPr>
                <w:p w:rsidR="00D4589F" w:rsidRPr="00FB538F" w:rsidRDefault="00D4589F" w:rsidP="00817593">
                  <w:pPr>
                    <w:rPr>
                      <w:rFonts w:ascii="Arial" w:hAnsi="Arial" w:cs="Arial"/>
                    </w:rPr>
                  </w:pPr>
                  <w:r w:rsidRPr="00FB538F">
                    <w:rPr>
                      <w:rFonts w:ascii="Arial" w:hAnsi="Arial" w:cs="Arial"/>
                    </w:rPr>
                    <w:t> </w:t>
                  </w:r>
                </w:p>
              </w:tc>
              <w:tc>
                <w:tcPr>
                  <w:tcW w:w="2250" w:type="pct"/>
                  <w:vAlign w:val="center"/>
                  <w:hideMark/>
                </w:tcPr>
                <w:p w:rsidR="00D4589F" w:rsidRPr="00FB538F" w:rsidRDefault="00B06A7B" w:rsidP="00817593">
                  <w:pPr>
                    <w:rPr>
                      <w:rFonts w:ascii="Arial" w:hAnsi="Arial" w:cs="Arial"/>
                    </w:rPr>
                  </w:pPr>
                  <w:r>
                    <w:rPr>
                      <w:rFonts w:ascii="Arial" w:hAnsi="Arial" w:cs="Arial"/>
                    </w:rPr>
                    <w:t>Gene Bourgeois</w:t>
                  </w:r>
                  <w:r w:rsidR="00D4589F" w:rsidRPr="00FB538F">
                    <w:rPr>
                      <w:rFonts w:ascii="Arial" w:hAnsi="Arial" w:cs="Arial"/>
                    </w:rPr>
                    <w:t xml:space="preserve"> </w:t>
                  </w:r>
                </w:p>
              </w:tc>
              <w:tc>
                <w:tcPr>
                  <w:tcW w:w="0" w:type="auto"/>
                  <w:vAlign w:val="center"/>
                  <w:hideMark/>
                </w:tcPr>
                <w:p w:rsidR="00D4589F" w:rsidRPr="00FB538F" w:rsidRDefault="00D4589F" w:rsidP="00817593">
                  <w:pPr>
                    <w:rPr>
                      <w:rFonts w:ascii="Arial" w:hAnsi="Arial" w:cs="Arial"/>
                    </w:rPr>
                  </w:pPr>
                  <w:r w:rsidRPr="00FB538F">
                    <w:rPr>
                      <w:rFonts w:ascii="Arial" w:hAnsi="Arial" w:cs="Arial"/>
                    </w:rPr>
                    <w:t> </w:t>
                  </w:r>
                </w:p>
              </w:tc>
            </w:tr>
            <w:tr w:rsidR="00D4589F" w:rsidRPr="00FB538F" w:rsidTr="00817593">
              <w:trPr>
                <w:tblCellSpacing w:w="0" w:type="dxa"/>
                <w:jc w:val="center"/>
              </w:trPr>
              <w:tc>
                <w:tcPr>
                  <w:tcW w:w="0" w:type="auto"/>
                  <w:vAlign w:val="center"/>
                  <w:hideMark/>
                </w:tcPr>
                <w:p w:rsidR="00D4589F" w:rsidRPr="00FB538F" w:rsidRDefault="00D4589F" w:rsidP="00817593">
                  <w:pPr>
                    <w:rPr>
                      <w:rFonts w:ascii="Arial" w:hAnsi="Arial" w:cs="Arial"/>
                    </w:rPr>
                  </w:pPr>
                  <w:r w:rsidRPr="00FB538F">
                    <w:rPr>
                      <w:rFonts w:ascii="Arial" w:hAnsi="Arial" w:cs="Arial"/>
                    </w:rPr>
                    <w:t> </w:t>
                  </w:r>
                </w:p>
              </w:tc>
              <w:tc>
                <w:tcPr>
                  <w:tcW w:w="0" w:type="auto"/>
                  <w:vAlign w:val="center"/>
                  <w:hideMark/>
                </w:tcPr>
                <w:p w:rsidR="00D4589F" w:rsidRDefault="00D4589F" w:rsidP="00817593">
                  <w:pPr>
                    <w:rPr>
                      <w:rFonts w:ascii="Arial" w:hAnsi="Arial" w:cs="Arial"/>
                    </w:rPr>
                  </w:pPr>
                  <w:r w:rsidRPr="00FB538F">
                    <w:rPr>
                      <w:rFonts w:ascii="Arial" w:hAnsi="Arial" w:cs="Arial"/>
                    </w:rPr>
                    <w:t>Provost and Vice President for</w:t>
                  </w:r>
                  <w:r>
                    <w:rPr>
                      <w:rFonts w:ascii="Arial" w:hAnsi="Arial" w:cs="Arial"/>
                    </w:rPr>
                    <w:t xml:space="preserve"> </w:t>
                  </w:r>
                  <w:r w:rsidRPr="00FB538F">
                    <w:rPr>
                      <w:rFonts w:ascii="Arial" w:hAnsi="Arial" w:cs="Arial"/>
                    </w:rPr>
                    <w:t xml:space="preserve">Academic Affairs </w:t>
                  </w:r>
                </w:p>
                <w:p w:rsidR="00F7130D" w:rsidRPr="004C0868" w:rsidRDefault="00F7130D" w:rsidP="00F7130D">
                  <w:pPr>
                    <w:rPr>
                      <w:sz w:val="14"/>
                      <w:szCs w:val="14"/>
                    </w:rPr>
                  </w:pPr>
                  <w:r w:rsidRPr="004C0868">
                    <w:rPr>
                      <w:rStyle w:val="style101"/>
                      <w:sz w:val="14"/>
                      <w:szCs w:val="14"/>
                    </w:rPr>
                    <w:t xml:space="preserve">Texas State University </w:t>
                  </w:r>
                </w:p>
                <w:p w:rsidR="00F7130D" w:rsidRPr="004C0868" w:rsidRDefault="00F7130D" w:rsidP="00F7130D">
                  <w:pPr>
                    <w:rPr>
                      <w:sz w:val="14"/>
                      <w:szCs w:val="14"/>
                    </w:rPr>
                  </w:pPr>
                  <w:r w:rsidRPr="004C0868">
                    <w:rPr>
                      <w:rStyle w:val="style101"/>
                      <w:sz w:val="14"/>
                      <w:szCs w:val="14"/>
                    </w:rPr>
                    <w:t>Provost and Vice President for Academic Affairs</w:t>
                  </w:r>
                </w:p>
                <w:p w:rsidR="00F7130D" w:rsidRPr="004C0868" w:rsidRDefault="00F7130D" w:rsidP="00F7130D">
                  <w:pPr>
                    <w:rPr>
                      <w:rStyle w:val="style101"/>
                      <w:sz w:val="14"/>
                      <w:szCs w:val="14"/>
                    </w:rPr>
                  </w:pPr>
                  <w:r w:rsidRPr="004C0868">
                    <w:rPr>
                      <w:rStyle w:val="style101"/>
                      <w:sz w:val="14"/>
                      <w:szCs w:val="14"/>
                    </w:rPr>
                    <w:t xml:space="preserve">Last Updated: </w:t>
                  </w:r>
                  <w:r w:rsidR="0064072F">
                    <w:rPr>
                      <w:rStyle w:val="style101"/>
                      <w:sz w:val="14"/>
                      <w:szCs w:val="14"/>
                    </w:rPr>
                    <w:t>October 13, 2015</w:t>
                  </w:r>
                </w:p>
                <w:p w:rsidR="00F7130D" w:rsidRPr="004C0868" w:rsidRDefault="00F7130D" w:rsidP="00F7130D">
                  <w:pPr>
                    <w:rPr>
                      <w:rFonts w:ascii="Helvetica" w:hAnsi="Helvetica"/>
                      <w:sz w:val="14"/>
                      <w:szCs w:val="14"/>
                    </w:rPr>
                  </w:pPr>
                  <w:r w:rsidRPr="004C0868">
                    <w:rPr>
                      <w:rStyle w:val="style101"/>
                      <w:sz w:val="14"/>
                      <w:szCs w:val="14"/>
                    </w:rPr>
                    <w:t xml:space="preserve">Send comments and questions to: </w:t>
                  </w:r>
                  <w:hyperlink r:id="rId19" w:history="1">
                    <w:r w:rsidRPr="004C0868">
                      <w:rPr>
                        <w:rStyle w:val="Hyperlink"/>
                        <w:rFonts w:ascii="Arial" w:hAnsi="Arial" w:cs="Arial"/>
                        <w:sz w:val="14"/>
                        <w:szCs w:val="14"/>
                      </w:rPr>
                      <w:t>tg12@txstate.edu</w:t>
                    </w:r>
                  </w:hyperlink>
                </w:p>
                <w:p w:rsidR="00F7130D" w:rsidRDefault="00F7130D" w:rsidP="00817593">
                  <w:pPr>
                    <w:rPr>
                      <w:rFonts w:ascii="Arial" w:hAnsi="Arial" w:cs="Arial"/>
                    </w:rPr>
                  </w:pPr>
                </w:p>
                <w:p w:rsidR="00F7130D" w:rsidRPr="00FB538F" w:rsidRDefault="00F7130D" w:rsidP="00817593">
                  <w:pPr>
                    <w:rPr>
                      <w:rFonts w:ascii="Arial" w:hAnsi="Arial" w:cs="Arial"/>
                    </w:rPr>
                  </w:pPr>
                </w:p>
              </w:tc>
              <w:tc>
                <w:tcPr>
                  <w:tcW w:w="0" w:type="auto"/>
                  <w:vAlign w:val="center"/>
                  <w:hideMark/>
                </w:tcPr>
                <w:p w:rsidR="00D4589F" w:rsidRPr="00FB538F" w:rsidRDefault="00D4589F" w:rsidP="00817593">
                  <w:pPr>
                    <w:rPr>
                      <w:rFonts w:ascii="Arial" w:hAnsi="Arial" w:cs="Arial"/>
                    </w:rPr>
                  </w:pPr>
                  <w:r w:rsidRPr="00FB538F">
                    <w:rPr>
                      <w:rFonts w:ascii="Arial" w:hAnsi="Arial" w:cs="Arial"/>
                    </w:rPr>
                    <w:t> </w:t>
                  </w:r>
                </w:p>
              </w:tc>
            </w:tr>
          </w:tbl>
          <w:p w:rsidR="00D4589F" w:rsidRPr="00FB538F" w:rsidRDefault="00D4589F" w:rsidP="00817593">
            <w:pPr>
              <w:rPr>
                <w:rFonts w:ascii="Arial" w:hAnsi="Arial" w:cs="Arial"/>
              </w:rPr>
            </w:pPr>
          </w:p>
        </w:tc>
      </w:tr>
    </w:tbl>
    <w:p w:rsidR="00970B2A" w:rsidRDefault="00970B2A"/>
    <w:sectPr w:rsidR="00970B2A" w:rsidSect="0064072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A83"/>
    <w:multiLevelType w:val="hybridMultilevel"/>
    <w:tmpl w:val="43E04F98"/>
    <w:lvl w:ilvl="0" w:tplc="27D6A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C1B1237"/>
    <w:multiLevelType w:val="hybridMultilevel"/>
    <w:tmpl w:val="C4543E14"/>
    <w:lvl w:ilvl="0" w:tplc="E4DA44B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9F"/>
    <w:rsid w:val="0009315B"/>
    <w:rsid w:val="00121FF2"/>
    <w:rsid w:val="00144E3D"/>
    <w:rsid w:val="001E5C2C"/>
    <w:rsid w:val="002B03AA"/>
    <w:rsid w:val="00314B36"/>
    <w:rsid w:val="0041437A"/>
    <w:rsid w:val="00415616"/>
    <w:rsid w:val="00416233"/>
    <w:rsid w:val="00473915"/>
    <w:rsid w:val="005137FC"/>
    <w:rsid w:val="0064072F"/>
    <w:rsid w:val="00727368"/>
    <w:rsid w:val="007F4344"/>
    <w:rsid w:val="00817593"/>
    <w:rsid w:val="008D21B7"/>
    <w:rsid w:val="0090680B"/>
    <w:rsid w:val="009623B3"/>
    <w:rsid w:val="00970B2A"/>
    <w:rsid w:val="00971502"/>
    <w:rsid w:val="009E3D09"/>
    <w:rsid w:val="00AC7751"/>
    <w:rsid w:val="00B06A7B"/>
    <w:rsid w:val="00C16641"/>
    <w:rsid w:val="00C43376"/>
    <w:rsid w:val="00C947B8"/>
    <w:rsid w:val="00D4589F"/>
    <w:rsid w:val="00E13F1B"/>
    <w:rsid w:val="00F7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7A44A-7D9C-4D30-A614-4BBFDC07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4589F"/>
    <w:rPr>
      <w:b/>
      <w:bCs/>
    </w:rPr>
  </w:style>
  <w:style w:type="paragraph" w:styleId="ListParagraph">
    <w:name w:val="List Paragraph"/>
    <w:basedOn w:val="Normal"/>
    <w:uiPriority w:val="34"/>
    <w:qFormat/>
    <w:rsid w:val="00D4589F"/>
    <w:pPr>
      <w:ind w:left="720"/>
      <w:contextualSpacing/>
    </w:pPr>
  </w:style>
  <w:style w:type="character" w:styleId="Hyperlink">
    <w:name w:val="Hyperlink"/>
    <w:uiPriority w:val="99"/>
    <w:unhideWhenUsed/>
    <w:rsid w:val="00D4589F"/>
    <w:rPr>
      <w:color w:val="0000FF"/>
      <w:u w:val="single"/>
    </w:rPr>
  </w:style>
  <w:style w:type="character" w:customStyle="1" w:styleId="style101">
    <w:name w:val="style101"/>
    <w:rsid w:val="00F7130D"/>
    <w:rPr>
      <w:rFonts w:ascii="Arial" w:hAnsi="Arial" w:cs="Arial" w:hint="default"/>
      <w:sz w:val="15"/>
      <w:szCs w:val="15"/>
    </w:rPr>
  </w:style>
  <w:style w:type="character" w:styleId="FollowedHyperlink">
    <w:name w:val="FollowedHyperlink"/>
    <w:uiPriority w:val="99"/>
    <w:semiHidden/>
    <w:unhideWhenUsed/>
    <w:rsid w:val="0009315B"/>
    <w:rPr>
      <w:color w:val="800080"/>
      <w:u w:val="single"/>
    </w:rPr>
  </w:style>
  <w:style w:type="paragraph" w:styleId="BalloonText">
    <w:name w:val="Balloon Text"/>
    <w:basedOn w:val="Normal"/>
    <w:link w:val="BalloonTextChar"/>
    <w:uiPriority w:val="99"/>
    <w:semiHidden/>
    <w:unhideWhenUsed/>
    <w:rsid w:val="00414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37FC"/>
    <w:rPr>
      <w:sz w:val="16"/>
      <w:szCs w:val="16"/>
    </w:rPr>
  </w:style>
  <w:style w:type="paragraph" w:styleId="CommentText">
    <w:name w:val="annotation text"/>
    <w:basedOn w:val="Normal"/>
    <w:link w:val="CommentTextChar"/>
    <w:uiPriority w:val="99"/>
    <w:semiHidden/>
    <w:unhideWhenUsed/>
    <w:rsid w:val="005137FC"/>
    <w:rPr>
      <w:sz w:val="20"/>
      <w:szCs w:val="20"/>
    </w:rPr>
  </w:style>
  <w:style w:type="character" w:customStyle="1" w:styleId="CommentTextChar">
    <w:name w:val="Comment Text Char"/>
    <w:basedOn w:val="DefaultParagraphFont"/>
    <w:link w:val="CommentText"/>
    <w:uiPriority w:val="99"/>
    <w:semiHidden/>
    <w:rsid w:val="005137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37FC"/>
    <w:rPr>
      <w:b/>
      <w:bCs/>
    </w:rPr>
  </w:style>
  <w:style w:type="character" w:customStyle="1" w:styleId="CommentSubjectChar">
    <w:name w:val="Comment Subject Char"/>
    <w:basedOn w:val="CommentTextChar"/>
    <w:link w:val="CommentSubject"/>
    <w:uiPriority w:val="99"/>
    <w:semiHidden/>
    <w:rsid w:val="005137F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7/PPS7-05Att5/PPS7.05_AttV.doc" TargetMode="External"/><Relationship Id="rId13" Type="http://schemas.openxmlformats.org/officeDocument/2006/relationships/hyperlink" Target="http://gato-docs.its.txstate.edu/provost-vpaa/office-pps-files/pps7/PPS7-05Att3/PPS7.05_AttIII.doc" TargetMode="External"/><Relationship Id="rId18" Type="http://schemas.openxmlformats.org/officeDocument/2006/relationships/hyperlink" Target="http://gato-docs.its.txstate.edu/provost-vpaa/office-pps-files/pps1/PPS1-03.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ato-docs.its.txstate.edu/provost-vpaa/office-pps-files/pps7/PPS7-05Att3/PPS7.05_AttIII.doc" TargetMode="External"/><Relationship Id="rId12" Type="http://schemas.openxmlformats.org/officeDocument/2006/relationships/hyperlink" Target="http://gato-docs.its.txstate.edu/provost-vpaa/office-pps-files/pps7/PPS7-05Att4/PPS7.05_AttIV.doc" TargetMode="External"/><Relationship Id="rId17" Type="http://schemas.openxmlformats.org/officeDocument/2006/relationships/hyperlink" Target="http://gato-docs.its.txstate.edu/provost-vpaa/office-pps-files/pps7/PPS7-05Att2/PPS7.05_AttII.doc" TargetMode="External"/><Relationship Id="rId2" Type="http://schemas.openxmlformats.org/officeDocument/2006/relationships/styles" Target="styles.xml"/><Relationship Id="rId16" Type="http://schemas.openxmlformats.org/officeDocument/2006/relationships/hyperlink" Target="http://gato-docs.its.txstate.edu/provost-vpaa/office-pps-files/pps7/PPS7-05Att4/PPS7.05_AttIV.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ato-docs.its.txstate.edu/provost-vpaa/office-pps-files/pps7/PPS7-05Att2/PPS7.05_AttII.doc" TargetMode="External"/><Relationship Id="rId11" Type="http://schemas.openxmlformats.org/officeDocument/2006/relationships/hyperlink" Target="http://gato-docs.its.txstate.edu/provost-vpaa/office-pps-files/pps7/PPS7-05Att3/PPS7.05_AttIII.doc" TargetMode="External"/><Relationship Id="rId5" Type="http://schemas.openxmlformats.org/officeDocument/2006/relationships/hyperlink" Target="http://gato-docs.its.txstate.edu/provost-vpaa/office-pps-files/pps7/PPS7-05Att1/PPS7.05_AttI.doc" TargetMode="External"/><Relationship Id="rId15" Type="http://schemas.openxmlformats.org/officeDocument/2006/relationships/hyperlink" Target="http://gato-docs.its.txstate.edu/provost-vpaa/office-pps-files/pps7/PPS7-05Att3/PPS7.05_AttIII.doc" TargetMode="External"/><Relationship Id="rId10" Type="http://schemas.openxmlformats.org/officeDocument/2006/relationships/hyperlink" Target="http://gato-docs.its.txstate.edu/provost-vpaa/office-pps-files/pps7/PPS7-05Att2/PPS7.05_AttII.doc" TargetMode="External"/><Relationship Id="rId19" Type="http://schemas.openxmlformats.org/officeDocument/2006/relationships/hyperlink" Target="mailto:tg12@txstate.edu" TargetMode="External"/><Relationship Id="rId4" Type="http://schemas.openxmlformats.org/officeDocument/2006/relationships/webSettings" Target="webSettings.xml"/><Relationship Id="rId9" Type="http://schemas.openxmlformats.org/officeDocument/2006/relationships/hyperlink" Target="http://gato-docs.its.txstate.edu/provost-vpaa/office-pps-files/pps7/PPS7-05Att1/PPS7.05_AttI.doc" TargetMode="External"/><Relationship Id="rId14" Type="http://schemas.openxmlformats.org/officeDocument/2006/relationships/hyperlink" Target="http://gato-docs.its.txstate.edu/provost-vpaa/office-pps-files/pps7/PPS7-05Att4/PPS7.05_AttI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2328</Words>
  <Characters>13296</Characters>
  <Application>Microsoft Office Word</Application>
  <DocSecurity>0</DocSecurity>
  <Lines>782</Lines>
  <Paragraphs>473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15151</CharactersWithSpaces>
  <SharedDoc>false</SharedDoc>
  <HLinks>
    <vt:vector size="66" baseType="variant">
      <vt:variant>
        <vt:i4>4653168</vt:i4>
      </vt:variant>
      <vt:variant>
        <vt:i4>30</vt:i4>
      </vt:variant>
      <vt:variant>
        <vt:i4>0</vt:i4>
      </vt:variant>
      <vt:variant>
        <vt:i4>5</vt:i4>
      </vt:variant>
      <vt:variant>
        <vt:lpwstr>C:\Documents and Settings\tg12\Local Settings\tg12\Local Settings\Temporary Internet Files\OLK14\tg12@txstate.edu</vt:lpwstr>
      </vt:variant>
      <vt:variant>
        <vt:lpwstr/>
      </vt:variant>
      <vt:variant>
        <vt:i4>3145763</vt:i4>
      </vt:variant>
      <vt:variant>
        <vt:i4>27</vt:i4>
      </vt:variant>
      <vt:variant>
        <vt:i4>0</vt:i4>
      </vt:variant>
      <vt:variant>
        <vt:i4>5</vt:i4>
      </vt:variant>
      <vt:variant>
        <vt:lpwstr>http://gato-docs.its.txstate.edu/provost-vpaa/office-pps-files/pps1/PPS1-03.doc</vt:lpwstr>
      </vt:variant>
      <vt:variant>
        <vt:lpwstr/>
      </vt:variant>
      <vt:variant>
        <vt:i4>3735553</vt:i4>
      </vt:variant>
      <vt:variant>
        <vt:i4>24</vt:i4>
      </vt:variant>
      <vt:variant>
        <vt:i4>0</vt:i4>
      </vt:variant>
      <vt:variant>
        <vt:i4>5</vt:i4>
      </vt:variant>
      <vt:variant>
        <vt:lpwstr>http://gato-docs.its.txstate.edu/provost-vpaa/office-pps-files/pps7/PPS7-05Att2/PPS7.05_AttII.doc</vt:lpwstr>
      </vt:variant>
      <vt:variant>
        <vt:lpwstr/>
      </vt:variant>
      <vt:variant>
        <vt:i4>3735576</vt:i4>
      </vt:variant>
      <vt:variant>
        <vt:i4>21</vt:i4>
      </vt:variant>
      <vt:variant>
        <vt:i4>0</vt:i4>
      </vt:variant>
      <vt:variant>
        <vt:i4>5</vt:i4>
      </vt:variant>
      <vt:variant>
        <vt:lpwstr>http://gato-docs.its.txstate.edu/provost-vpaa/office-pps-files/pps7/PPS7-05Att4/PPS7.05_AttIV.doc</vt:lpwstr>
      </vt:variant>
      <vt:variant>
        <vt:lpwstr/>
      </vt:variant>
      <vt:variant>
        <vt:i4>1441829</vt:i4>
      </vt:variant>
      <vt:variant>
        <vt:i4>18</vt:i4>
      </vt:variant>
      <vt:variant>
        <vt:i4>0</vt:i4>
      </vt:variant>
      <vt:variant>
        <vt:i4>5</vt:i4>
      </vt:variant>
      <vt:variant>
        <vt:lpwstr>http://gato-docs.its.txstate.edu/provost-vpaa/office-pps-files/pps7/PPS7-05Att3/PPS7.05_AttIII.doc</vt:lpwstr>
      </vt:variant>
      <vt:variant>
        <vt:lpwstr/>
      </vt:variant>
      <vt:variant>
        <vt:i4>3735576</vt:i4>
      </vt:variant>
      <vt:variant>
        <vt:i4>15</vt:i4>
      </vt:variant>
      <vt:variant>
        <vt:i4>0</vt:i4>
      </vt:variant>
      <vt:variant>
        <vt:i4>5</vt:i4>
      </vt:variant>
      <vt:variant>
        <vt:lpwstr>http://gato-docs.its.txstate.edu/provost-vpaa/office-pps-files/pps7/PPS7-05Att4/PPS7.05_AttIV.doc</vt:lpwstr>
      </vt:variant>
      <vt:variant>
        <vt:lpwstr/>
      </vt:variant>
      <vt:variant>
        <vt:i4>1441829</vt:i4>
      </vt:variant>
      <vt:variant>
        <vt:i4>12</vt:i4>
      </vt:variant>
      <vt:variant>
        <vt:i4>0</vt:i4>
      </vt:variant>
      <vt:variant>
        <vt:i4>5</vt:i4>
      </vt:variant>
      <vt:variant>
        <vt:lpwstr>http://gato-docs.its.txstate.edu/provost-vpaa/office-pps-files/pps7/PPS7-05Att3/PPS7.05_AttIII.doc</vt:lpwstr>
      </vt:variant>
      <vt:variant>
        <vt:lpwstr/>
      </vt:variant>
      <vt:variant>
        <vt:i4>3735576</vt:i4>
      </vt:variant>
      <vt:variant>
        <vt:i4>9</vt:i4>
      </vt:variant>
      <vt:variant>
        <vt:i4>0</vt:i4>
      </vt:variant>
      <vt:variant>
        <vt:i4>5</vt:i4>
      </vt:variant>
      <vt:variant>
        <vt:lpwstr>http://gato-docs.its.txstate.edu/provost-vpaa/office-pps-files/pps7/PPS7-05Att4/PPS7.05_AttIV.doc</vt:lpwstr>
      </vt:variant>
      <vt:variant>
        <vt:lpwstr/>
      </vt:variant>
      <vt:variant>
        <vt:i4>1441829</vt:i4>
      </vt:variant>
      <vt:variant>
        <vt:i4>6</vt:i4>
      </vt:variant>
      <vt:variant>
        <vt:i4>0</vt:i4>
      </vt:variant>
      <vt:variant>
        <vt:i4>5</vt:i4>
      </vt:variant>
      <vt:variant>
        <vt:lpwstr>http://gato-docs.its.txstate.edu/provost-vpaa/office-pps-files/pps7/PPS7-05Att3/PPS7.05_AttIII.doc</vt:lpwstr>
      </vt:variant>
      <vt:variant>
        <vt:lpwstr/>
      </vt:variant>
      <vt:variant>
        <vt:i4>3735553</vt:i4>
      </vt:variant>
      <vt:variant>
        <vt:i4>3</vt:i4>
      </vt:variant>
      <vt:variant>
        <vt:i4>0</vt:i4>
      </vt:variant>
      <vt:variant>
        <vt:i4>5</vt:i4>
      </vt:variant>
      <vt:variant>
        <vt:lpwstr>http://gato-docs.its.txstate.edu/provost-vpaa/office-pps-files/pps7/PPS7-05Att2/PPS7.05_AttII.doc</vt:lpwstr>
      </vt:variant>
      <vt:variant>
        <vt:lpwstr/>
      </vt:variant>
      <vt:variant>
        <vt:i4>8323150</vt:i4>
      </vt:variant>
      <vt:variant>
        <vt:i4>0</vt:i4>
      </vt:variant>
      <vt:variant>
        <vt:i4>0</vt:i4>
      </vt:variant>
      <vt:variant>
        <vt:i4>5</vt:i4>
      </vt:variant>
      <vt:variant>
        <vt:lpwstr>http://gato-docs.its.txstate.edu/provost-vpaa/office-pps-files/pps7/PPS7-05Att1/PPS7.05_AttI.doc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State User</dc:creator>
  <cp:lastModifiedBy>Holzer, Lucinda M</cp:lastModifiedBy>
  <cp:revision>2</cp:revision>
  <dcterms:created xsi:type="dcterms:W3CDTF">2015-10-14T13:54:00Z</dcterms:created>
  <dcterms:modified xsi:type="dcterms:W3CDTF">2015-10-14T13:54:00Z</dcterms:modified>
</cp:coreProperties>
</file>