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392CF" w14:textId="77777777" w:rsidR="00AC7471" w:rsidRDefault="00896369" w:rsidP="00896369">
      <w:pPr>
        <w:spacing w:before="0" w:after="0"/>
      </w:pPr>
      <w:r>
        <w:t xml:space="preserve">           </w:t>
      </w:r>
      <w:r>
        <w:tab/>
      </w:r>
      <w:r>
        <w:tab/>
      </w:r>
      <w:r>
        <w:tab/>
      </w:r>
      <w:r>
        <w:tab/>
      </w:r>
      <w:r>
        <w:tab/>
      </w:r>
      <w:r>
        <w:tab/>
      </w:r>
      <w:r>
        <w:tab/>
      </w:r>
      <w:r>
        <w:tab/>
      </w:r>
      <w:r>
        <w:tab/>
      </w:r>
      <w:r>
        <w:tab/>
        <w:t>AAPPS 04.02.11</w:t>
      </w:r>
    </w:p>
    <w:p w14:paraId="1123FBEC" w14:textId="77777777" w:rsidR="00AC7471" w:rsidRDefault="00896369">
      <w:pPr>
        <w:pStyle w:val="Default"/>
        <w:rPr>
          <w:color w:val="auto"/>
          <w:sz w:val="23"/>
          <w:szCs w:val="23"/>
        </w:rPr>
      </w:pPr>
      <w:r>
        <w:rPr>
          <w:color w:val="auto"/>
          <w:sz w:val="23"/>
          <w:szCs w:val="23"/>
        </w:rPr>
        <w:t xml:space="preserve">Education Code, Section 51.942  </w:t>
      </w:r>
    </w:p>
    <w:p w14:paraId="2C8455B7" w14:textId="77777777" w:rsidR="00AC7471" w:rsidRDefault="00896369">
      <w:pPr>
        <w:pStyle w:val="Default"/>
        <w:rPr>
          <w:color w:val="auto"/>
          <w:sz w:val="23"/>
          <w:szCs w:val="23"/>
        </w:rPr>
      </w:pPr>
      <w:r>
        <w:rPr>
          <w:b/>
          <w:bCs/>
          <w:color w:val="auto"/>
          <w:sz w:val="23"/>
          <w:szCs w:val="23"/>
        </w:rPr>
        <w:t xml:space="preserve"> </w:t>
      </w:r>
    </w:p>
    <w:p w14:paraId="6BD9242C" w14:textId="77777777" w:rsidR="00AC7471" w:rsidRDefault="00896369">
      <w:pPr>
        <w:pStyle w:val="Default"/>
        <w:rPr>
          <w:color w:val="auto"/>
          <w:sz w:val="28"/>
          <w:szCs w:val="28"/>
        </w:rPr>
      </w:pPr>
      <w:r>
        <w:rPr>
          <w:b/>
          <w:bCs/>
          <w:color w:val="auto"/>
          <w:sz w:val="28"/>
          <w:szCs w:val="28"/>
        </w:rPr>
        <w:t xml:space="preserve">TITLE 3. HIGHER EDUCATION </w:t>
      </w:r>
      <w:r>
        <w:rPr>
          <w:color w:val="auto"/>
          <w:sz w:val="28"/>
          <w:szCs w:val="28"/>
        </w:rPr>
        <w:t xml:space="preserve"> </w:t>
      </w:r>
    </w:p>
    <w:p w14:paraId="044D8BE6" w14:textId="77777777" w:rsidR="00AC7471" w:rsidRDefault="00896369">
      <w:pPr>
        <w:pStyle w:val="Default"/>
        <w:rPr>
          <w:color w:val="auto"/>
          <w:sz w:val="28"/>
          <w:szCs w:val="28"/>
        </w:rPr>
      </w:pPr>
      <w:r>
        <w:rPr>
          <w:b/>
          <w:bCs/>
          <w:color w:val="auto"/>
          <w:sz w:val="28"/>
          <w:szCs w:val="28"/>
        </w:rPr>
        <w:t xml:space="preserve"> </w:t>
      </w:r>
    </w:p>
    <w:p w14:paraId="2DFC96DA" w14:textId="77777777" w:rsidR="00AC7471" w:rsidRDefault="00896369">
      <w:pPr>
        <w:pStyle w:val="Default"/>
        <w:rPr>
          <w:color w:val="auto"/>
          <w:sz w:val="28"/>
          <w:szCs w:val="28"/>
        </w:rPr>
      </w:pPr>
      <w:r>
        <w:rPr>
          <w:b/>
          <w:bCs/>
          <w:color w:val="auto"/>
          <w:sz w:val="28"/>
          <w:szCs w:val="28"/>
        </w:rPr>
        <w:t xml:space="preserve">SUBTITLE A. HIGHER EDUCATION IN GENERAL </w:t>
      </w:r>
      <w:r>
        <w:rPr>
          <w:color w:val="auto"/>
          <w:sz w:val="28"/>
          <w:szCs w:val="28"/>
        </w:rPr>
        <w:t xml:space="preserve"> </w:t>
      </w:r>
    </w:p>
    <w:p w14:paraId="4E33E7AF" w14:textId="77777777" w:rsidR="00AC7471" w:rsidRDefault="00896369">
      <w:pPr>
        <w:pStyle w:val="Default"/>
        <w:rPr>
          <w:color w:val="auto"/>
          <w:sz w:val="28"/>
          <w:szCs w:val="28"/>
        </w:rPr>
      </w:pPr>
      <w:r>
        <w:rPr>
          <w:b/>
          <w:bCs/>
          <w:color w:val="auto"/>
          <w:sz w:val="28"/>
          <w:szCs w:val="28"/>
        </w:rPr>
        <w:t xml:space="preserve"> </w:t>
      </w:r>
    </w:p>
    <w:p w14:paraId="384C1125" w14:textId="77777777" w:rsidR="00AC7471" w:rsidRDefault="00896369">
      <w:pPr>
        <w:pStyle w:val="Default"/>
        <w:rPr>
          <w:color w:val="auto"/>
          <w:sz w:val="28"/>
          <w:szCs w:val="28"/>
        </w:rPr>
      </w:pPr>
      <w:r>
        <w:rPr>
          <w:b/>
          <w:bCs/>
          <w:color w:val="auto"/>
          <w:sz w:val="28"/>
          <w:szCs w:val="28"/>
        </w:rPr>
        <w:t xml:space="preserve">CHAPTER 51. PROVISIONS GENERALLY APPLICABLE TO HIGHER EDUCATION  </w:t>
      </w:r>
    </w:p>
    <w:p w14:paraId="593A99D9" w14:textId="77777777" w:rsidR="00AC7471" w:rsidRDefault="00896369">
      <w:pPr>
        <w:pStyle w:val="Default"/>
        <w:rPr>
          <w:color w:val="auto"/>
          <w:sz w:val="28"/>
          <w:szCs w:val="28"/>
        </w:rPr>
      </w:pPr>
      <w:r>
        <w:rPr>
          <w:color w:val="auto"/>
          <w:sz w:val="28"/>
          <w:szCs w:val="28"/>
        </w:rPr>
        <w:t xml:space="preserve"> </w:t>
      </w:r>
    </w:p>
    <w:p w14:paraId="382CF8C4" w14:textId="77777777" w:rsidR="00AC7471" w:rsidRDefault="00896369">
      <w:pPr>
        <w:pStyle w:val="Default"/>
        <w:rPr>
          <w:color w:val="auto"/>
          <w:sz w:val="23"/>
          <w:szCs w:val="23"/>
        </w:rPr>
      </w:pPr>
      <w:r>
        <w:rPr>
          <w:b/>
          <w:bCs/>
          <w:color w:val="auto"/>
          <w:sz w:val="23"/>
          <w:szCs w:val="23"/>
        </w:rPr>
        <w:t xml:space="preserve">§ 51.942. Performance Evaluation of Tenured Faculty </w:t>
      </w:r>
      <w:r>
        <w:rPr>
          <w:color w:val="auto"/>
          <w:sz w:val="23"/>
          <w:szCs w:val="23"/>
        </w:rPr>
        <w:t xml:space="preserve"> </w:t>
      </w:r>
    </w:p>
    <w:p w14:paraId="3050565D" w14:textId="77777777" w:rsidR="00AC7471" w:rsidRDefault="00896369">
      <w:pPr>
        <w:pStyle w:val="Default"/>
        <w:rPr>
          <w:color w:val="auto"/>
          <w:sz w:val="23"/>
          <w:szCs w:val="23"/>
        </w:rPr>
      </w:pPr>
      <w:r>
        <w:rPr>
          <w:color w:val="auto"/>
          <w:sz w:val="23"/>
          <w:szCs w:val="23"/>
        </w:rPr>
        <w:t xml:space="preserve"> </w:t>
      </w:r>
    </w:p>
    <w:p w14:paraId="150DFB7D" w14:textId="77777777" w:rsidR="00AC7471" w:rsidRDefault="00896369">
      <w:pPr>
        <w:pStyle w:val="Default"/>
        <w:rPr>
          <w:color w:val="auto"/>
          <w:sz w:val="23"/>
          <w:szCs w:val="23"/>
        </w:rPr>
      </w:pPr>
      <w:r>
        <w:rPr>
          <w:color w:val="auto"/>
          <w:sz w:val="23"/>
          <w:szCs w:val="23"/>
        </w:rPr>
        <w:t xml:space="preserve">(a) In this section:  </w:t>
      </w:r>
    </w:p>
    <w:p w14:paraId="5475ABBF" w14:textId="77777777" w:rsidR="00AC7471" w:rsidRDefault="00896369">
      <w:pPr>
        <w:pStyle w:val="Default"/>
        <w:rPr>
          <w:color w:val="auto"/>
          <w:sz w:val="23"/>
          <w:szCs w:val="23"/>
        </w:rPr>
      </w:pPr>
      <w:r>
        <w:rPr>
          <w:color w:val="auto"/>
          <w:sz w:val="23"/>
          <w:szCs w:val="23"/>
        </w:rPr>
        <w:t xml:space="preserve"> </w:t>
      </w:r>
    </w:p>
    <w:p w14:paraId="414AA736" w14:textId="77777777" w:rsidR="00AC7471" w:rsidRDefault="00896369">
      <w:pPr>
        <w:pStyle w:val="Default"/>
        <w:rPr>
          <w:color w:val="auto"/>
          <w:sz w:val="23"/>
          <w:szCs w:val="23"/>
        </w:rPr>
      </w:pPr>
      <w:r>
        <w:rPr>
          <w:color w:val="auto"/>
          <w:sz w:val="23"/>
          <w:szCs w:val="23"/>
        </w:rPr>
        <w:t xml:space="preserve">(1) "Governing board" has the meaning assigned by Section 61.003.  </w:t>
      </w:r>
    </w:p>
    <w:p w14:paraId="67FDA0E0" w14:textId="77777777" w:rsidR="00AC7471" w:rsidRDefault="00896369">
      <w:pPr>
        <w:pStyle w:val="Default"/>
        <w:rPr>
          <w:color w:val="auto"/>
          <w:sz w:val="23"/>
          <w:szCs w:val="23"/>
        </w:rPr>
      </w:pPr>
      <w:r>
        <w:rPr>
          <w:color w:val="auto"/>
          <w:sz w:val="23"/>
          <w:szCs w:val="23"/>
        </w:rPr>
        <w:t xml:space="preserve"> </w:t>
      </w:r>
    </w:p>
    <w:p w14:paraId="08119E8D" w14:textId="77777777" w:rsidR="00AC7471" w:rsidRDefault="00896369">
      <w:pPr>
        <w:pStyle w:val="Default"/>
        <w:rPr>
          <w:color w:val="auto"/>
          <w:sz w:val="23"/>
          <w:szCs w:val="23"/>
        </w:rPr>
      </w:pPr>
      <w:r>
        <w:rPr>
          <w:color w:val="auto"/>
          <w:sz w:val="23"/>
          <w:szCs w:val="23"/>
        </w:rPr>
        <w:t xml:space="preserve">(2) "Institution of higher education" means a general academic teaching institution, medical and dental unit, or other agency of higher education, as those terms are defined by Section 61.003.  </w:t>
      </w:r>
    </w:p>
    <w:p w14:paraId="26FC2D4A" w14:textId="77777777" w:rsidR="00AC7471" w:rsidRDefault="00896369">
      <w:pPr>
        <w:pStyle w:val="Default"/>
        <w:rPr>
          <w:color w:val="auto"/>
          <w:sz w:val="23"/>
          <w:szCs w:val="23"/>
        </w:rPr>
      </w:pPr>
      <w:r>
        <w:rPr>
          <w:color w:val="auto"/>
          <w:sz w:val="23"/>
          <w:szCs w:val="23"/>
        </w:rPr>
        <w:t xml:space="preserve"> </w:t>
      </w:r>
    </w:p>
    <w:p w14:paraId="33622DD9" w14:textId="77777777" w:rsidR="00AC7471" w:rsidRDefault="00896369">
      <w:pPr>
        <w:pStyle w:val="Default"/>
        <w:rPr>
          <w:color w:val="auto"/>
          <w:sz w:val="23"/>
          <w:szCs w:val="23"/>
        </w:rPr>
      </w:pPr>
      <w:r>
        <w:rPr>
          <w:color w:val="auto"/>
          <w:sz w:val="23"/>
          <w:szCs w:val="23"/>
        </w:rPr>
        <w:t xml:space="preserve">(3) "Neglect of duty" means continuing or repeated substantial neglect of professional responsibilities.  </w:t>
      </w:r>
    </w:p>
    <w:p w14:paraId="5885BFFD" w14:textId="77777777" w:rsidR="00AC7471" w:rsidRDefault="00896369">
      <w:pPr>
        <w:pStyle w:val="Default"/>
        <w:rPr>
          <w:color w:val="auto"/>
          <w:sz w:val="23"/>
          <w:szCs w:val="23"/>
        </w:rPr>
      </w:pPr>
      <w:r>
        <w:rPr>
          <w:color w:val="auto"/>
          <w:sz w:val="23"/>
          <w:szCs w:val="23"/>
        </w:rPr>
        <w:t xml:space="preserve">(b) Each governing board of an institution of higher education shall adopt rules and procedures providing for a periodic performance evaluation process for all faculty tenured at the institution. The governing board may design its rules and procedures to fit the institution's </w:t>
      </w:r>
      <w:proofErr w:type="gramStart"/>
      <w:r>
        <w:rPr>
          <w:color w:val="auto"/>
          <w:sz w:val="23"/>
          <w:szCs w:val="23"/>
        </w:rPr>
        <w:t>particular educational</w:t>
      </w:r>
      <w:proofErr w:type="gramEnd"/>
      <w:r>
        <w:rPr>
          <w:color w:val="auto"/>
          <w:sz w:val="23"/>
          <w:szCs w:val="23"/>
        </w:rPr>
        <w:t xml:space="preserve"> mission, traditions, resources, and circumstances relevant to its character, role, and scope, in addition to other relevant factors determined by the governing board in the rules adopted pursuant to this section. The governing board shall seek advice and comment from the faculty of the institution before adopting any rules pursuant to this section. The advice and comment from the faculty on the performance evaluation of tenured faculty shall be given the utmost consideration by the governing board.  </w:t>
      </w:r>
    </w:p>
    <w:p w14:paraId="1E2324CE" w14:textId="77777777" w:rsidR="00AC7471" w:rsidRDefault="00896369">
      <w:pPr>
        <w:pStyle w:val="Default"/>
        <w:rPr>
          <w:color w:val="auto"/>
          <w:sz w:val="23"/>
          <w:szCs w:val="23"/>
        </w:rPr>
      </w:pPr>
      <w:r>
        <w:rPr>
          <w:color w:val="auto"/>
          <w:sz w:val="23"/>
          <w:szCs w:val="23"/>
        </w:rPr>
        <w:t xml:space="preserve"> </w:t>
      </w:r>
    </w:p>
    <w:p w14:paraId="4547A8C9" w14:textId="77777777" w:rsidR="00AC7471" w:rsidRDefault="00896369">
      <w:pPr>
        <w:pStyle w:val="Default"/>
        <w:rPr>
          <w:color w:val="auto"/>
          <w:sz w:val="23"/>
          <w:szCs w:val="23"/>
        </w:rPr>
      </w:pPr>
      <w:r>
        <w:rPr>
          <w:color w:val="auto"/>
          <w:sz w:val="23"/>
          <w:szCs w:val="23"/>
        </w:rPr>
        <w:t xml:space="preserve">(c) In addition to any other provisions adopted by the governing board, the rules shall include provisions providing that:  </w:t>
      </w:r>
    </w:p>
    <w:p w14:paraId="6922F877" w14:textId="77777777" w:rsidR="00AC7471" w:rsidRDefault="00896369">
      <w:pPr>
        <w:pStyle w:val="Default"/>
        <w:rPr>
          <w:color w:val="auto"/>
          <w:sz w:val="23"/>
          <w:szCs w:val="23"/>
        </w:rPr>
      </w:pPr>
      <w:r>
        <w:rPr>
          <w:color w:val="auto"/>
          <w:sz w:val="23"/>
          <w:szCs w:val="23"/>
        </w:rPr>
        <w:t xml:space="preserve"> </w:t>
      </w:r>
    </w:p>
    <w:p w14:paraId="7DA2D813" w14:textId="77777777" w:rsidR="00AC7471" w:rsidRDefault="00896369">
      <w:pPr>
        <w:pStyle w:val="Default"/>
        <w:rPr>
          <w:color w:val="auto"/>
          <w:sz w:val="23"/>
          <w:szCs w:val="23"/>
        </w:rPr>
      </w:pPr>
      <w:r>
        <w:rPr>
          <w:color w:val="auto"/>
          <w:sz w:val="23"/>
          <w:szCs w:val="23"/>
        </w:rPr>
        <w:t xml:space="preserve">(1) each faculty member tenured at the institution be subject to a comprehensive performance evaluation process conducted no more often than once every year, but no less often than once every six years, after the date the faculty member was granted tenure or received an academic promotion at the institution;  </w:t>
      </w:r>
    </w:p>
    <w:p w14:paraId="6B4851DA" w14:textId="77777777" w:rsidR="00AC7471" w:rsidRDefault="00896369">
      <w:pPr>
        <w:pStyle w:val="Default"/>
        <w:rPr>
          <w:color w:val="auto"/>
          <w:sz w:val="23"/>
          <w:szCs w:val="23"/>
        </w:rPr>
      </w:pPr>
      <w:r>
        <w:rPr>
          <w:color w:val="auto"/>
          <w:sz w:val="23"/>
          <w:szCs w:val="23"/>
        </w:rPr>
        <w:t xml:space="preserve"> </w:t>
      </w:r>
    </w:p>
    <w:p w14:paraId="50790943" w14:textId="77777777" w:rsidR="00AC7471" w:rsidRDefault="00896369">
      <w:pPr>
        <w:pStyle w:val="Default"/>
        <w:rPr>
          <w:color w:val="auto"/>
          <w:sz w:val="23"/>
          <w:szCs w:val="23"/>
        </w:rPr>
      </w:pPr>
      <w:r>
        <w:rPr>
          <w:color w:val="auto"/>
          <w:sz w:val="23"/>
          <w:szCs w:val="23"/>
        </w:rPr>
        <w:t xml:space="preserve">(2) the evaluation be based on the professional responsibilities of the faculty member, in teaching, research, service, patient care, and administration, and include peer review of the faculty member;  </w:t>
      </w:r>
    </w:p>
    <w:p w14:paraId="4E652CED" w14:textId="77777777" w:rsidR="00AC7471" w:rsidRDefault="00896369">
      <w:pPr>
        <w:pStyle w:val="Default"/>
        <w:rPr>
          <w:color w:val="auto"/>
          <w:sz w:val="23"/>
          <w:szCs w:val="23"/>
        </w:rPr>
      </w:pPr>
      <w:r>
        <w:rPr>
          <w:color w:val="auto"/>
          <w:sz w:val="23"/>
          <w:szCs w:val="23"/>
        </w:rPr>
        <w:t xml:space="preserve"> </w:t>
      </w:r>
    </w:p>
    <w:p w14:paraId="1A7954EB" w14:textId="77777777" w:rsidR="00AC7471" w:rsidRDefault="00896369">
      <w:pPr>
        <w:pStyle w:val="Default"/>
        <w:rPr>
          <w:color w:val="auto"/>
          <w:sz w:val="23"/>
          <w:szCs w:val="23"/>
        </w:rPr>
      </w:pPr>
      <w:r>
        <w:rPr>
          <w:color w:val="auto"/>
          <w:sz w:val="23"/>
          <w:szCs w:val="23"/>
        </w:rPr>
        <w:t xml:space="preserve">(3) the process be directed toward the professional development of the faculty member;  </w:t>
      </w:r>
    </w:p>
    <w:p w14:paraId="3BBB8686" w14:textId="77777777" w:rsidR="00896369" w:rsidRDefault="00896369">
      <w:pPr>
        <w:pStyle w:val="Default"/>
        <w:rPr>
          <w:color w:val="auto"/>
          <w:sz w:val="23"/>
          <w:szCs w:val="23"/>
        </w:rPr>
      </w:pPr>
      <w:r>
        <w:rPr>
          <w:color w:val="auto"/>
        </w:rPr>
        <w:t xml:space="preserve">1 AAPPS 04.02.11, </w:t>
      </w:r>
      <w:r>
        <w:rPr>
          <w:color w:val="auto"/>
          <w:sz w:val="23"/>
          <w:szCs w:val="23"/>
        </w:rPr>
        <w:t>Education Code, Section 51.942</w:t>
      </w:r>
      <w:r>
        <w:rPr>
          <w:color w:val="auto"/>
          <w:sz w:val="23"/>
          <w:szCs w:val="23"/>
        </w:rPr>
        <w:tab/>
      </w:r>
    </w:p>
    <w:p w14:paraId="2424A3A4" w14:textId="77777777" w:rsidR="00AC7471" w:rsidRDefault="00896369">
      <w:pPr>
        <w:pStyle w:val="Default"/>
        <w:rPr>
          <w:color w:val="auto"/>
        </w:rPr>
      </w:pPr>
      <w:r>
        <w:rPr>
          <w:color w:val="auto"/>
        </w:rPr>
        <w:t xml:space="preserve">   </w:t>
      </w:r>
    </w:p>
    <w:p w14:paraId="2CA67FB4" w14:textId="6CB43018" w:rsidR="00AC7471" w:rsidRDefault="00896369">
      <w:pPr>
        <w:pStyle w:val="Default"/>
        <w:rPr>
          <w:color w:val="auto"/>
          <w:sz w:val="23"/>
          <w:szCs w:val="23"/>
        </w:rPr>
      </w:pPr>
      <w:r>
        <w:rPr>
          <w:color w:val="auto"/>
          <w:sz w:val="23"/>
          <w:szCs w:val="23"/>
        </w:rPr>
        <w:t xml:space="preserve">(4) the process </w:t>
      </w:r>
      <w:r w:rsidR="00C91A25">
        <w:rPr>
          <w:color w:val="auto"/>
          <w:sz w:val="23"/>
          <w:szCs w:val="23"/>
        </w:rPr>
        <w:t>incorporates</w:t>
      </w:r>
      <w:r>
        <w:rPr>
          <w:color w:val="auto"/>
          <w:sz w:val="23"/>
          <w:szCs w:val="23"/>
        </w:rPr>
        <w:t xml:space="preserve"> commonly recognized </w:t>
      </w:r>
      <w:bookmarkStart w:id="0" w:name="_GoBack"/>
      <w:bookmarkEnd w:id="0"/>
      <w:r>
        <w:rPr>
          <w:color w:val="auto"/>
          <w:sz w:val="23"/>
          <w:szCs w:val="23"/>
        </w:rPr>
        <w:t xml:space="preserve">academic due process rights, including notice of the manner and scope of the evaluation, the opportunity to provide documentation during the evaluation process, and, before a faculty member may be subject to disciplinary action on the basis of an evaluation conducted pursuant to this section, notice of specific charges and an opportunity for hearing on those charges; and  </w:t>
      </w:r>
    </w:p>
    <w:p w14:paraId="0A7DEDEB" w14:textId="77777777" w:rsidR="00AC7471" w:rsidRDefault="00896369">
      <w:pPr>
        <w:pStyle w:val="Default"/>
        <w:rPr>
          <w:color w:val="auto"/>
          <w:sz w:val="23"/>
          <w:szCs w:val="23"/>
        </w:rPr>
      </w:pPr>
      <w:r>
        <w:rPr>
          <w:color w:val="auto"/>
          <w:sz w:val="23"/>
          <w:szCs w:val="23"/>
        </w:rPr>
        <w:t xml:space="preserve"> </w:t>
      </w:r>
    </w:p>
    <w:p w14:paraId="1C1CF577" w14:textId="77777777" w:rsidR="00AC7471" w:rsidRDefault="00896369">
      <w:pPr>
        <w:pStyle w:val="Default"/>
        <w:rPr>
          <w:color w:val="auto"/>
          <w:sz w:val="23"/>
          <w:szCs w:val="23"/>
        </w:rPr>
      </w:pPr>
      <w:r>
        <w:rPr>
          <w:color w:val="auto"/>
          <w:sz w:val="23"/>
          <w:szCs w:val="23"/>
        </w:rPr>
        <w:lastRenderedPageBreak/>
        <w:t xml:space="preserve">(5) a faculty member be subject to revocation of tenure or other appropriate disciplinary action if incompetency, neglect of duty, or other good cause is determined to be present.  </w:t>
      </w:r>
    </w:p>
    <w:p w14:paraId="1E018656" w14:textId="77777777" w:rsidR="00AC7471" w:rsidRDefault="00896369">
      <w:pPr>
        <w:pStyle w:val="Default"/>
        <w:rPr>
          <w:color w:val="auto"/>
          <w:sz w:val="23"/>
          <w:szCs w:val="23"/>
        </w:rPr>
      </w:pPr>
      <w:r>
        <w:rPr>
          <w:color w:val="auto"/>
          <w:sz w:val="23"/>
          <w:szCs w:val="23"/>
        </w:rPr>
        <w:t xml:space="preserve"> </w:t>
      </w:r>
    </w:p>
    <w:p w14:paraId="3B8B5C3F" w14:textId="77777777" w:rsidR="00AC7471" w:rsidRDefault="00896369">
      <w:pPr>
        <w:pStyle w:val="Default"/>
        <w:rPr>
          <w:color w:val="auto"/>
          <w:sz w:val="23"/>
          <w:szCs w:val="23"/>
        </w:rPr>
      </w:pPr>
      <w:r>
        <w:rPr>
          <w:color w:val="auto"/>
          <w:sz w:val="23"/>
          <w:szCs w:val="23"/>
        </w:rPr>
        <w:t xml:space="preserve">(d) A faculty member subject to termination </w:t>
      </w:r>
      <w:proofErr w:type="gramStart"/>
      <w:r>
        <w:rPr>
          <w:color w:val="auto"/>
          <w:sz w:val="23"/>
          <w:szCs w:val="23"/>
        </w:rPr>
        <w:t>on the basis of</w:t>
      </w:r>
      <w:proofErr w:type="gramEnd"/>
      <w:r>
        <w:rPr>
          <w:color w:val="auto"/>
          <w:sz w:val="23"/>
          <w:szCs w:val="23"/>
        </w:rPr>
        <w:t xml:space="preserve"> an evaluation conducted pursuant to this section must be given the opportunity for referral of the matter to a nonbinding alternative dispute resolution process as described in Chapter 154, Civil Practice and Remedies Code. If both parties agree, another type of alternative dispute resolution method may be elected. The governing board must give specific reasons in writing for any decision to terminate a faculty member </w:t>
      </w:r>
      <w:proofErr w:type="gramStart"/>
      <w:r>
        <w:rPr>
          <w:color w:val="auto"/>
          <w:sz w:val="23"/>
          <w:szCs w:val="23"/>
        </w:rPr>
        <w:t>on the basis of</w:t>
      </w:r>
      <w:proofErr w:type="gramEnd"/>
      <w:r>
        <w:rPr>
          <w:color w:val="auto"/>
          <w:sz w:val="23"/>
          <w:szCs w:val="23"/>
        </w:rPr>
        <w:t xml:space="preserve"> an evaluation conducted pursuant to this section.  </w:t>
      </w:r>
    </w:p>
    <w:p w14:paraId="6C5EAFE8" w14:textId="77777777" w:rsidR="00AC7471" w:rsidRDefault="00896369">
      <w:pPr>
        <w:pStyle w:val="Default"/>
        <w:rPr>
          <w:color w:val="auto"/>
          <w:sz w:val="23"/>
          <w:szCs w:val="23"/>
        </w:rPr>
      </w:pPr>
      <w:r>
        <w:rPr>
          <w:color w:val="auto"/>
          <w:sz w:val="23"/>
          <w:szCs w:val="23"/>
        </w:rPr>
        <w:t xml:space="preserve"> </w:t>
      </w:r>
    </w:p>
    <w:p w14:paraId="078F3B04" w14:textId="77777777" w:rsidR="00AC7471" w:rsidRDefault="00896369">
      <w:pPr>
        <w:pStyle w:val="Default"/>
        <w:rPr>
          <w:color w:val="auto"/>
          <w:sz w:val="23"/>
          <w:szCs w:val="23"/>
        </w:rPr>
      </w:pPr>
      <w:r>
        <w:rPr>
          <w:color w:val="auto"/>
          <w:sz w:val="23"/>
          <w:szCs w:val="23"/>
        </w:rPr>
        <w:t xml:space="preserve">(e) A governing board may not waive the evaluation process for any faculty member granted tenure at an institution.  </w:t>
      </w:r>
    </w:p>
    <w:p w14:paraId="1CD7B2F1" w14:textId="77777777" w:rsidR="00AC7471" w:rsidRDefault="00896369">
      <w:pPr>
        <w:pStyle w:val="Default"/>
        <w:rPr>
          <w:color w:val="auto"/>
          <w:sz w:val="23"/>
          <w:szCs w:val="23"/>
        </w:rPr>
      </w:pPr>
      <w:r>
        <w:rPr>
          <w:color w:val="auto"/>
          <w:sz w:val="23"/>
          <w:szCs w:val="23"/>
        </w:rPr>
        <w:t xml:space="preserve"> </w:t>
      </w:r>
    </w:p>
    <w:p w14:paraId="19F87AA8" w14:textId="77777777" w:rsidR="00AC7471" w:rsidRDefault="00896369">
      <w:pPr>
        <w:pStyle w:val="Default"/>
        <w:rPr>
          <w:color w:val="auto"/>
          <w:sz w:val="23"/>
          <w:szCs w:val="23"/>
        </w:rPr>
      </w:pPr>
      <w:r>
        <w:rPr>
          <w:color w:val="auto"/>
          <w:sz w:val="23"/>
          <w:szCs w:val="23"/>
        </w:rPr>
        <w:t xml:space="preserve">(f) A governing board may not award tenure to an administrator in any way that varies from the institution's general policy on the award of tenure.  </w:t>
      </w:r>
    </w:p>
    <w:p w14:paraId="6C862DDC" w14:textId="77777777" w:rsidR="00AC7471" w:rsidRDefault="00896369">
      <w:pPr>
        <w:pStyle w:val="Default"/>
        <w:rPr>
          <w:color w:val="auto"/>
          <w:sz w:val="23"/>
          <w:szCs w:val="23"/>
        </w:rPr>
      </w:pPr>
      <w:r>
        <w:rPr>
          <w:color w:val="auto"/>
          <w:sz w:val="23"/>
          <w:szCs w:val="23"/>
        </w:rPr>
        <w:t xml:space="preserve"> </w:t>
      </w:r>
    </w:p>
    <w:p w14:paraId="729A3EEA" w14:textId="77777777" w:rsidR="00AC7471" w:rsidRDefault="00896369">
      <w:pPr>
        <w:pStyle w:val="Default"/>
        <w:rPr>
          <w:color w:val="auto"/>
          <w:sz w:val="23"/>
          <w:szCs w:val="23"/>
        </w:rPr>
      </w:pPr>
      <w:r>
        <w:rPr>
          <w:color w:val="auto"/>
          <w:sz w:val="23"/>
          <w:szCs w:val="23"/>
        </w:rPr>
        <w:t xml:space="preserve">(g) Each governing board shall file a copy of the rules adopted pursuant to this section, and any amendments to such rules, with the coordinating board on or before September 1 of each year.  </w:t>
      </w:r>
    </w:p>
    <w:p w14:paraId="226C89BA" w14:textId="77777777" w:rsidR="00AC7471" w:rsidRDefault="00896369">
      <w:pPr>
        <w:pStyle w:val="Default"/>
        <w:rPr>
          <w:color w:val="auto"/>
          <w:sz w:val="23"/>
          <w:szCs w:val="23"/>
        </w:rPr>
      </w:pPr>
      <w:r>
        <w:rPr>
          <w:color w:val="auto"/>
          <w:sz w:val="23"/>
          <w:szCs w:val="23"/>
        </w:rPr>
        <w:t xml:space="preserve"> </w:t>
      </w:r>
    </w:p>
    <w:p w14:paraId="38EC5BA5" w14:textId="77777777" w:rsidR="00AC7471" w:rsidRDefault="00896369">
      <w:pPr>
        <w:pStyle w:val="Default"/>
        <w:rPr>
          <w:color w:val="auto"/>
          <w:sz w:val="23"/>
          <w:szCs w:val="23"/>
        </w:rPr>
      </w:pPr>
      <w:r>
        <w:rPr>
          <w:color w:val="auto"/>
          <w:sz w:val="23"/>
          <w:szCs w:val="23"/>
        </w:rPr>
        <w:t xml:space="preserve">Added by Acts 1997, 75th Leg., </w:t>
      </w:r>
      <w:proofErr w:type="spellStart"/>
      <w:r>
        <w:rPr>
          <w:color w:val="auto"/>
          <w:sz w:val="23"/>
          <w:szCs w:val="23"/>
        </w:rPr>
        <w:t>ch.</w:t>
      </w:r>
      <w:proofErr w:type="spellEnd"/>
      <w:r>
        <w:rPr>
          <w:color w:val="auto"/>
          <w:sz w:val="23"/>
          <w:szCs w:val="23"/>
        </w:rPr>
        <w:t xml:space="preserve"> 1017, § 1, eff. Jan. 1, 1998.  </w:t>
      </w:r>
    </w:p>
    <w:p w14:paraId="5E848FD2" w14:textId="77777777" w:rsidR="00AC7471" w:rsidRDefault="00896369">
      <w:r>
        <w:t xml:space="preserve"> </w:t>
      </w:r>
    </w:p>
    <w:p w14:paraId="1E8E650D" w14:textId="77777777" w:rsidR="00AC7471" w:rsidRDefault="00896369">
      <w:pPr>
        <w:pStyle w:val="Default"/>
        <w:spacing w:before="100" w:after="100"/>
        <w:rPr>
          <w:color w:val="auto"/>
        </w:rPr>
      </w:pPr>
      <w:r>
        <w:rPr>
          <w:color w:val="auto"/>
        </w:rPr>
        <w:t xml:space="preserve"> </w:t>
      </w:r>
    </w:p>
    <w:p w14:paraId="57C75D91" w14:textId="77777777" w:rsidR="00AC7471" w:rsidRDefault="00896369">
      <w:pPr>
        <w:pStyle w:val="Default"/>
        <w:spacing w:before="100" w:after="100"/>
        <w:rPr>
          <w:color w:val="auto"/>
        </w:rPr>
      </w:pPr>
      <w:r>
        <w:rPr>
          <w:color w:val="auto"/>
        </w:rPr>
        <w:t xml:space="preserve"> </w:t>
      </w:r>
    </w:p>
    <w:p w14:paraId="165D6636" w14:textId="77777777" w:rsidR="00AC7471" w:rsidRDefault="00896369">
      <w:pPr>
        <w:pStyle w:val="Default"/>
        <w:spacing w:before="100" w:after="100"/>
        <w:rPr>
          <w:color w:val="auto"/>
        </w:rPr>
      </w:pPr>
      <w:r>
        <w:rPr>
          <w:color w:val="auto"/>
        </w:rPr>
        <w:t xml:space="preserve"> </w:t>
      </w:r>
    </w:p>
    <w:p w14:paraId="1826D3A0" w14:textId="77777777" w:rsidR="00AC7471" w:rsidRDefault="00896369">
      <w:pPr>
        <w:pStyle w:val="Default"/>
        <w:spacing w:before="100" w:after="100"/>
        <w:rPr>
          <w:color w:val="auto"/>
        </w:rPr>
      </w:pPr>
      <w:r>
        <w:rPr>
          <w:color w:val="auto"/>
        </w:rPr>
        <w:t xml:space="preserve"> </w:t>
      </w:r>
    </w:p>
    <w:p w14:paraId="249168D5" w14:textId="77777777" w:rsidR="00AC7471" w:rsidRDefault="00896369">
      <w:pPr>
        <w:pStyle w:val="Default"/>
        <w:spacing w:before="100" w:after="100"/>
        <w:rPr>
          <w:color w:val="auto"/>
        </w:rPr>
      </w:pPr>
      <w:r>
        <w:rPr>
          <w:color w:val="auto"/>
        </w:rPr>
        <w:t xml:space="preserve"> </w:t>
      </w:r>
    </w:p>
    <w:p w14:paraId="796F86B2" w14:textId="77777777" w:rsidR="00AC7471" w:rsidRDefault="00896369">
      <w:pPr>
        <w:pStyle w:val="Default"/>
        <w:spacing w:before="100" w:after="100"/>
        <w:rPr>
          <w:color w:val="auto"/>
        </w:rPr>
      </w:pPr>
      <w:r>
        <w:rPr>
          <w:color w:val="auto"/>
        </w:rPr>
        <w:t xml:space="preserve"> </w:t>
      </w:r>
    </w:p>
    <w:p w14:paraId="468F5A44" w14:textId="77777777" w:rsidR="00AC7471" w:rsidRDefault="00896369">
      <w:pPr>
        <w:pStyle w:val="Default"/>
        <w:spacing w:before="100" w:after="100"/>
        <w:rPr>
          <w:color w:val="auto"/>
        </w:rPr>
      </w:pPr>
      <w:r>
        <w:rPr>
          <w:color w:val="auto"/>
        </w:rPr>
        <w:t xml:space="preserve"> </w:t>
      </w:r>
    </w:p>
    <w:p w14:paraId="0486C96F" w14:textId="77777777" w:rsidR="00AC7471" w:rsidRDefault="00896369">
      <w:pPr>
        <w:pStyle w:val="Default"/>
        <w:spacing w:before="100" w:after="100"/>
        <w:rPr>
          <w:color w:val="auto"/>
        </w:rPr>
      </w:pPr>
      <w:r>
        <w:rPr>
          <w:color w:val="auto"/>
        </w:rPr>
        <w:t xml:space="preserve"> </w:t>
      </w:r>
    </w:p>
    <w:p w14:paraId="41EA5BED" w14:textId="77777777" w:rsidR="00AC7471" w:rsidRDefault="00896369">
      <w:pPr>
        <w:jc w:val="center"/>
        <w:rPr>
          <w:rFonts w:ascii="Calibri" w:hAnsi="Calibri" w:cs="Calibri"/>
          <w:sz w:val="22"/>
          <w:szCs w:val="22"/>
        </w:rPr>
      </w:pPr>
      <w:r>
        <w:t>2</w:t>
      </w:r>
      <w:r>
        <w:rPr>
          <w:rFonts w:ascii="Calibri" w:hAnsi="Calibri" w:cs="Calibri"/>
          <w:sz w:val="22"/>
          <w:szCs w:val="22"/>
        </w:rPr>
        <w:t> </w:t>
      </w:r>
    </w:p>
    <w:sectPr w:rsidR="00AC7471">
      <w:type w:val="continuous"/>
      <w:pgSz w:w="12240" w:h="15840"/>
      <w:pgMar w:top="1400" w:right="320" w:bottom="1440" w:left="12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369"/>
    <w:rsid w:val="00896369"/>
    <w:rsid w:val="00AC7471"/>
    <w:rsid w:val="00C91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F26531"/>
  <w14:defaultImageDpi w14:val="0"/>
  <w15:docId w15:val="{D4B55C12-BDF4-4991-8936-4A3344AF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Default"/>
    <w:uiPriority w:val="99"/>
    <w:qFormat/>
    <w:pPr>
      <w:widowControl w:val="0"/>
      <w:autoSpaceDE w:val="0"/>
      <w:autoSpaceDN w:val="0"/>
      <w:adjustRightInd w:val="0"/>
      <w:spacing w:before="100" w:after="10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600</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State User</dc:creator>
  <cp:keywords/>
  <dc:description/>
  <cp:lastModifiedBy>Guerrero, Tina M</cp:lastModifiedBy>
  <cp:revision>3</cp:revision>
  <dcterms:created xsi:type="dcterms:W3CDTF">2019-02-05T22:43:00Z</dcterms:created>
  <dcterms:modified xsi:type="dcterms:W3CDTF">2019-02-06T15:29:00Z</dcterms:modified>
</cp:coreProperties>
</file>