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3774B4" w:rsidRDefault="0033796D" w:rsidP="003774B4">
      <w:pPr>
        <w:jc w:val="center"/>
        <w:rPr>
          <w:b/>
          <w:bCs/>
        </w:rPr>
      </w:pPr>
      <w:r w:rsidRPr="003774B4">
        <w:rPr>
          <w:b/>
          <w:bCs/>
        </w:rPr>
        <w:t>Faculty Senate Minutes</w:t>
      </w:r>
    </w:p>
    <w:p w14:paraId="51FB1081" w14:textId="3449F213" w:rsidR="0033796D" w:rsidRPr="00315647" w:rsidRDefault="0033796D" w:rsidP="003774B4">
      <w:pPr>
        <w:jc w:val="center"/>
        <w:rPr>
          <w:b/>
          <w:bCs/>
        </w:rPr>
      </w:pPr>
      <w:r w:rsidRPr="00315647">
        <w:rPr>
          <w:b/>
          <w:bCs/>
        </w:rPr>
        <w:t xml:space="preserve">Wednesday, </w:t>
      </w:r>
      <w:r w:rsidR="006E2CB5">
        <w:rPr>
          <w:b/>
          <w:bCs/>
        </w:rPr>
        <w:t>October 6</w:t>
      </w:r>
      <w:r w:rsidRPr="00315647">
        <w:rPr>
          <w:b/>
          <w:bCs/>
        </w:rPr>
        <w:t>, 2021</w:t>
      </w:r>
    </w:p>
    <w:p w14:paraId="27B5048C" w14:textId="0C38C8B4" w:rsidR="0033796D" w:rsidRPr="00315647" w:rsidRDefault="0033796D" w:rsidP="003774B4">
      <w:pPr>
        <w:jc w:val="center"/>
        <w:rPr>
          <w:b/>
          <w:bCs/>
        </w:rPr>
      </w:pPr>
      <w:r w:rsidRPr="00315647">
        <w:rPr>
          <w:b/>
          <w:bCs/>
        </w:rPr>
        <w:t>Zoom</w:t>
      </w:r>
      <w:r w:rsidR="001F43C4" w:rsidRPr="00315647">
        <w:rPr>
          <w:b/>
          <w:bCs/>
        </w:rPr>
        <w:t xml:space="preserve"> Meeting</w:t>
      </w:r>
      <w:r w:rsidRPr="00315647">
        <w:rPr>
          <w:b/>
          <w:bCs/>
        </w:rPr>
        <w:t>, 4:00 pm – 6:00 pm</w:t>
      </w:r>
    </w:p>
    <w:p w14:paraId="667C46F9" w14:textId="77777777" w:rsidR="0033796D" w:rsidRPr="001F43C4" w:rsidRDefault="0033796D" w:rsidP="00DB43E4"/>
    <w:p w14:paraId="48BBAFAC" w14:textId="5F7271E0" w:rsidR="0033796D" w:rsidRPr="001F43C4" w:rsidRDefault="0033796D" w:rsidP="00DB43E4">
      <w:r w:rsidRPr="00315647">
        <w:rPr>
          <w:b/>
          <w:bCs/>
        </w:rPr>
        <w:t>Attending Senators:</w:t>
      </w:r>
      <w:r w:rsidRPr="001F43C4">
        <w:t xml:space="preserve"> </w:t>
      </w:r>
      <w:r w:rsidR="002E762E">
        <w:t xml:space="preserve">Taylor Acee, </w:t>
      </w:r>
      <w:r w:rsidR="000D25E8">
        <w:t xml:space="preserve">Stacey Bender, Dale Blasingame, Rachel Davenport, Peter Dedek, Jennifer Jensen, Lynn Ledbetter, Ben Martin, Stan McClellan, Roque Mendez, </w:t>
      </w:r>
      <w:r w:rsidR="00C72312">
        <w:t>Rebecca Bell-Metereau, Danette Myers, Andrew Ojede, Michael Supancic</w:t>
      </w:r>
    </w:p>
    <w:p w14:paraId="51E1B7AA" w14:textId="5B4FE84C" w:rsidR="007B7D52" w:rsidRPr="001F43C4" w:rsidRDefault="007B7D52" w:rsidP="00DB43E4"/>
    <w:p w14:paraId="1598F5FF" w14:textId="1E00590B" w:rsidR="00730558" w:rsidRPr="001F43C4" w:rsidRDefault="0033796D" w:rsidP="00DB43E4">
      <w:r w:rsidRPr="00315647">
        <w:rPr>
          <w:b/>
          <w:bCs/>
        </w:rPr>
        <w:t>Guests:</w:t>
      </w:r>
      <w:r w:rsidRPr="001F43C4">
        <w:t xml:space="preserve"> </w:t>
      </w:r>
      <w:r w:rsidR="00224D31">
        <w:t>Sarah Angulo</w:t>
      </w:r>
      <w:r w:rsidR="00B6214B">
        <w:t xml:space="preserve"> (Senate Fellow)</w:t>
      </w:r>
      <w:r w:rsidR="00224D31">
        <w:t xml:space="preserve">, Janet Bezner, Gene Bourgeois, </w:t>
      </w:r>
      <w:proofErr w:type="spellStart"/>
      <w:r w:rsidR="00224D31">
        <w:t>Timia</w:t>
      </w:r>
      <w:proofErr w:type="spellEnd"/>
      <w:r w:rsidR="00224D31">
        <w:t xml:space="preserve"> Cobb</w:t>
      </w:r>
      <w:r w:rsidR="00315647">
        <w:t xml:space="preserve"> (Star Reporter)</w:t>
      </w:r>
      <w:r w:rsidR="00224D31">
        <w:t>, William DeSoto, Kym Fox, Jennifer Lamm, Judy Oskam, Aimee Roundtree, Karen Sigler</w:t>
      </w:r>
      <w:r w:rsidR="00B6214B">
        <w:t xml:space="preserve"> (Library)</w:t>
      </w:r>
      <w:r w:rsidR="00224D31">
        <w:t>, Debbie Thorne, Denise Trauth</w:t>
      </w:r>
    </w:p>
    <w:p w14:paraId="2685FB4F" w14:textId="33E5359C" w:rsidR="00522780" w:rsidRPr="001F43C4" w:rsidRDefault="00522780" w:rsidP="00DB43E4"/>
    <w:p w14:paraId="7B467211" w14:textId="42EBB8F6" w:rsidR="00496898" w:rsidRPr="001F43C4" w:rsidRDefault="00496898" w:rsidP="00DB43E4">
      <w:r w:rsidRPr="001F43C4">
        <w:t>Meeting began at 4:00 pm</w:t>
      </w:r>
    </w:p>
    <w:p w14:paraId="18701F82" w14:textId="77777777" w:rsidR="00496898" w:rsidRPr="001F43C4" w:rsidRDefault="00496898" w:rsidP="00DB43E4"/>
    <w:p w14:paraId="03A098C4" w14:textId="3C621BC7" w:rsidR="001F43C4" w:rsidRPr="001F43C4" w:rsidRDefault="001F43C4" w:rsidP="00DB43E4">
      <w:r w:rsidRPr="001F43C4">
        <w:rPr>
          <w:rStyle w:val="normaltextrun"/>
          <w:rFonts w:cstheme="minorHAnsi"/>
          <w:b/>
          <w:bCs/>
        </w:rPr>
        <w:t>President’s Academic Advisory Group (PAAG)</w:t>
      </w:r>
    </w:p>
    <w:p w14:paraId="6FBCEDBF" w14:textId="77777777" w:rsidR="00477F4C" w:rsidRDefault="00477F4C" w:rsidP="00DB43E4">
      <w:pPr>
        <w:rPr>
          <w:rStyle w:val="normaltextrun"/>
          <w:rFonts w:cstheme="minorHAnsi"/>
          <w:b/>
          <w:bCs/>
        </w:rPr>
      </w:pPr>
    </w:p>
    <w:p w14:paraId="13F0843D" w14:textId="5D5DBA32" w:rsidR="00EB0625" w:rsidRDefault="00EB0625" w:rsidP="00DB43E4">
      <w:pPr>
        <w:rPr>
          <w:rStyle w:val="normaltextrun"/>
          <w:rFonts w:cstheme="minorHAnsi"/>
          <w:b/>
          <w:bCs/>
        </w:rPr>
      </w:pPr>
      <w:r w:rsidRPr="00EB0625">
        <w:rPr>
          <w:rStyle w:val="normaltextrun"/>
          <w:rFonts w:cstheme="minorHAnsi"/>
          <w:b/>
          <w:bCs/>
        </w:rPr>
        <w:t xml:space="preserve">Faculty Salaries </w:t>
      </w:r>
    </w:p>
    <w:p w14:paraId="0B8D6EFE" w14:textId="6C774725" w:rsidR="00841294" w:rsidRDefault="004231F0" w:rsidP="00477F4C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The faculty senate asked the president to </w:t>
      </w:r>
      <w:r w:rsidR="00E148C8">
        <w:rPr>
          <w:rStyle w:val="normaltextrun"/>
          <w:rFonts w:cstheme="minorHAnsi"/>
        </w:rPr>
        <w:t>d</w:t>
      </w:r>
      <w:r w:rsidR="00841294">
        <w:rPr>
          <w:rStyle w:val="normaltextrun"/>
          <w:rFonts w:cstheme="minorHAnsi"/>
        </w:rPr>
        <w:t>iscuss c</w:t>
      </w:r>
      <w:r w:rsidR="001F43C4" w:rsidRPr="001F43C4">
        <w:rPr>
          <w:rStyle w:val="normaltextrun"/>
          <w:rFonts w:cstheme="minorHAnsi"/>
        </w:rPr>
        <w:t xml:space="preserve">ost of </w:t>
      </w:r>
      <w:r w:rsidR="00E148C8">
        <w:rPr>
          <w:rStyle w:val="normaltextrun"/>
          <w:rFonts w:cstheme="minorHAnsi"/>
        </w:rPr>
        <w:t>l</w:t>
      </w:r>
      <w:r w:rsidR="001F43C4" w:rsidRPr="001F43C4">
        <w:rPr>
          <w:rStyle w:val="normaltextrun"/>
          <w:rFonts w:cstheme="minorHAnsi"/>
        </w:rPr>
        <w:t>iving</w:t>
      </w:r>
      <w:r w:rsidR="001A621C">
        <w:rPr>
          <w:rStyle w:val="normaltextrun"/>
          <w:rFonts w:cstheme="minorHAnsi"/>
        </w:rPr>
        <w:t xml:space="preserve">, </w:t>
      </w:r>
      <w:r w:rsidR="00E148C8">
        <w:rPr>
          <w:rStyle w:val="normaltextrun"/>
          <w:rFonts w:cstheme="minorHAnsi"/>
        </w:rPr>
        <w:t>m</w:t>
      </w:r>
      <w:r w:rsidR="001F43C4" w:rsidRPr="001F43C4">
        <w:rPr>
          <w:rStyle w:val="normaltextrun"/>
          <w:rFonts w:cstheme="minorHAnsi"/>
        </w:rPr>
        <w:t>erit</w:t>
      </w:r>
      <w:r w:rsidR="001A621C">
        <w:rPr>
          <w:rStyle w:val="normaltextrun"/>
          <w:rFonts w:cstheme="minorHAnsi"/>
        </w:rPr>
        <w:t xml:space="preserve">, and </w:t>
      </w:r>
      <w:r w:rsidR="00E148C8">
        <w:rPr>
          <w:rStyle w:val="normaltextrun"/>
          <w:rFonts w:cstheme="minorHAnsi"/>
        </w:rPr>
        <w:t>e</w:t>
      </w:r>
      <w:r w:rsidR="001F43C4" w:rsidRPr="001F43C4">
        <w:rPr>
          <w:rStyle w:val="normaltextrun"/>
          <w:rFonts w:cstheme="minorHAnsi"/>
        </w:rPr>
        <w:t xml:space="preserve">quity </w:t>
      </w:r>
      <w:r w:rsidR="00E148C8">
        <w:rPr>
          <w:rStyle w:val="normaltextrun"/>
          <w:rFonts w:cstheme="minorHAnsi"/>
        </w:rPr>
        <w:t>r</w:t>
      </w:r>
      <w:r w:rsidR="001F43C4" w:rsidRPr="001F43C4">
        <w:rPr>
          <w:rStyle w:val="normaltextrun"/>
          <w:rFonts w:cstheme="minorHAnsi"/>
        </w:rPr>
        <w:t>aises</w:t>
      </w:r>
      <w:r w:rsidR="00841294">
        <w:rPr>
          <w:rStyle w:val="normaltextrun"/>
          <w:rFonts w:cstheme="minorHAnsi"/>
        </w:rPr>
        <w:t xml:space="preserve">.  President Trauth </w:t>
      </w:r>
      <w:r w:rsidR="004A5AAB">
        <w:rPr>
          <w:rStyle w:val="normaltextrun"/>
          <w:rFonts w:cstheme="minorHAnsi"/>
        </w:rPr>
        <w:t>repeated that faculty salaries are the highest priority</w:t>
      </w:r>
      <w:r w:rsidR="000F6CF1">
        <w:rPr>
          <w:rStyle w:val="normaltextrun"/>
          <w:rFonts w:cstheme="minorHAnsi"/>
        </w:rPr>
        <w:t xml:space="preserve"> for the administration</w:t>
      </w:r>
      <w:r w:rsidR="004A5AAB">
        <w:rPr>
          <w:rStyle w:val="normaltextrun"/>
          <w:rFonts w:cstheme="minorHAnsi"/>
        </w:rPr>
        <w:t xml:space="preserve">.  </w:t>
      </w:r>
      <w:r w:rsidR="006E3113">
        <w:rPr>
          <w:rStyle w:val="normaltextrun"/>
          <w:rFonts w:cstheme="minorHAnsi"/>
        </w:rPr>
        <w:t xml:space="preserve">Our budget is tied to enrollment, and it was noted that our enrollment is </w:t>
      </w:r>
      <w:r w:rsidR="00F57DF2">
        <w:rPr>
          <w:rStyle w:val="normaltextrun"/>
          <w:rFonts w:cstheme="minorHAnsi"/>
        </w:rPr>
        <w:t>essentially flat.  Therefore, there is no additional income</w:t>
      </w:r>
      <w:r w:rsidR="00564C81">
        <w:rPr>
          <w:rStyle w:val="normaltextrun"/>
          <w:rFonts w:cstheme="minorHAnsi"/>
        </w:rPr>
        <w:t xml:space="preserve"> for a raise.  For a 3% raise, it </w:t>
      </w:r>
      <w:r w:rsidR="001A621C">
        <w:rPr>
          <w:rStyle w:val="normaltextrun"/>
          <w:rFonts w:cstheme="minorHAnsi"/>
        </w:rPr>
        <w:t xml:space="preserve">would </w:t>
      </w:r>
      <w:r w:rsidR="00564C81">
        <w:rPr>
          <w:rStyle w:val="normaltextrun"/>
          <w:rFonts w:cstheme="minorHAnsi"/>
        </w:rPr>
        <w:t>require $6 million</w:t>
      </w:r>
      <w:r w:rsidR="001A621C">
        <w:rPr>
          <w:rStyle w:val="normaltextrun"/>
          <w:rFonts w:cstheme="minorHAnsi"/>
        </w:rPr>
        <w:t xml:space="preserve"> in new funds</w:t>
      </w:r>
      <w:r w:rsidR="00564C81">
        <w:rPr>
          <w:rStyle w:val="normaltextrun"/>
          <w:rFonts w:cstheme="minorHAnsi"/>
        </w:rPr>
        <w:t>.</w:t>
      </w:r>
      <w:r w:rsidR="00841294">
        <w:rPr>
          <w:rStyle w:val="normaltextrun"/>
          <w:rFonts w:cstheme="minorHAnsi"/>
        </w:rPr>
        <w:t xml:space="preserve"> </w:t>
      </w:r>
      <w:r w:rsidR="00F152C9">
        <w:rPr>
          <w:rStyle w:val="normaltextrun"/>
          <w:rFonts w:cstheme="minorHAnsi"/>
        </w:rPr>
        <w:t xml:space="preserve">The two-step process used last year is being considered for the current year.  This would begin as a 3% </w:t>
      </w:r>
      <w:r w:rsidR="00D5717B">
        <w:rPr>
          <w:rStyle w:val="normaltextrun"/>
          <w:rFonts w:cstheme="minorHAnsi"/>
        </w:rPr>
        <w:t xml:space="preserve">one-year </w:t>
      </w:r>
      <w:r w:rsidR="00F152C9">
        <w:rPr>
          <w:rStyle w:val="normaltextrun"/>
          <w:rFonts w:cstheme="minorHAnsi"/>
        </w:rPr>
        <w:t>bonus</w:t>
      </w:r>
      <w:r w:rsidR="00D5717B">
        <w:rPr>
          <w:rStyle w:val="normaltextrun"/>
          <w:rFonts w:cstheme="minorHAnsi"/>
        </w:rPr>
        <w:t>, and the university would work to make this a permanent increase.</w:t>
      </w:r>
      <w:r w:rsidR="000F6CF1">
        <w:rPr>
          <w:rStyle w:val="normaltextrun"/>
          <w:rFonts w:cstheme="minorHAnsi"/>
        </w:rPr>
        <w:t xml:space="preserve">  </w:t>
      </w:r>
      <w:r w:rsidR="00A20DBE">
        <w:rPr>
          <w:rStyle w:val="normaltextrun"/>
          <w:rFonts w:cstheme="minorHAnsi"/>
        </w:rPr>
        <w:t>Such p</w:t>
      </w:r>
      <w:r w:rsidR="00F41661">
        <w:rPr>
          <w:rStyle w:val="normaltextrun"/>
          <w:rFonts w:cstheme="minorHAnsi"/>
        </w:rPr>
        <w:t xml:space="preserve">ermanent salary increases </w:t>
      </w:r>
      <w:r w:rsidR="000F6CF1">
        <w:rPr>
          <w:rStyle w:val="normaltextrun"/>
          <w:rFonts w:cstheme="minorHAnsi"/>
        </w:rPr>
        <w:t xml:space="preserve">would be based on </w:t>
      </w:r>
      <w:r w:rsidR="00061C2A">
        <w:rPr>
          <w:rStyle w:val="normaltextrun"/>
          <w:rFonts w:cstheme="minorHAnsi"/>
        </w:rPr>
        <w:t xml:space="preserve">targeted </w:t>
      </w:r>
      <w:r w:rsidR="000F6CF1">
        <w:rPr>
          <w:rStyle w:val="normaltextrun"/>
          <w:rFonts w:cstheme="minorHAnsi"/>
        </w:rPr>
        <w:t>enrollment increases</w:t>
      </w:r>
      <w:r w:rsidR="00061C2A">
        <w:rPr>
          <w:rStyle w:val="normaltextrun"/>
          <w:rFonts w:cstheme="minorHAnsi"/>
        </w:rPr>
        <w:t>.</w:t>
      </w:r>
      <w:r w:rsidR="004742FB">
        <w:rPr>
          <w:rStyle w:val="normaltextrun"/>
          <w:rFonts w:cstheme="minorHAnsi"/>
        </w:rPr>
        <w:t xml:space="preserve">  </w:t>
      </w:r>
      <w:r w:rsidR="00E01A21">
        <w:rPr>
          <w:rStyle w:val="normaltextrun"/>
          <w:rFonts w:cstheme="minorHAnsi"/>
        </w:rPr>
        <w:t xml:space="preserve">For example, </w:t>
      </w:r>
      <w:r w:rsidR="00A20DBE">
        <w:rPr>
          <w:rStyle w:val="normaltextrun"/>
          <w:rFonts w:cstheme="minorHAnsi"/>
        </w:rPr>
        <w:t xml:space="preserve">we are targeting </w:t>
      </w:r>
      <w:r w:rsidR="001170D9">
        <w:rPr>
          <w:rStyle w:val="normaltextrun"/>
          <w:rFonts w:cstheme="minorHAnsi"/>
        </w:rPr>
        <w:t xml:space="preserve">higher </w:t>
      </w:r>
      <w:r w:rsidR="00E01A21">
        <w:rPr>
          <w:rStyle w:val="normaltextrun"/>
          <w:rFonts w:cstheme="minorHAnsi"/>
        </w:rPr>
        <w:t>transfer enrollment</w:t>
      </w:r>
      <w:r w:rsidR="001170D9">
        <w:rPr>
          <w:rStyle w:val="normaltextrun"/>
          <w:rFonts w:cstheme="minorHAnsi"/>
        </w:rPr>
        <w:t>s</w:t>
      </w:r>
      <w:r w:rsidR="00E01A21">
        <w:rPr>
          <w:rStyle w:val="normaltextrun"/>
          <w:rFonts w:cstheme="minorHAnsi"/>
        </w:rPr>
        <w:t xml:space="preserve"> </w:t>
      </w:r>
      <w:r w:rsidR="00EF11D1">
        <w:rPr>
          <w:rStyle w:val="normaltextrun"/>
          <w:rFonts w:cstheme="minorHAnsi"/>
        </w:rPr>
        <w:t>from Austin Community College</w:t>
      </w:r>
      <w:r w:rsidR="001170D9">
        <w:rPr>
          <w:rStyle w:val="normaltextrun"/>
          <w:rFonts w:cstheme="minorHAnsi"/>
        </w:rPr>
        <w:t xml:space="preserve">, which are currently much lower than </w:t>
      </w:r>
      <w:r w:rsidR="009F2FE7">
        <w:rPr>
          <w:rStyle w:val="normaltextrun"/>
          <w:rFonts w:cstheme="minorHAnsi"/>
        </w:rPr>
        <w:t>normal.</w:t>
      </w:r>
      <w:r w:rsidR="00EF11D1">
        <w:rPr>
          <w:rStyle w:val="normaltextrun"/>
          <w:rFonts w:cstheme="minorHAnsi"/>
        </w:rPr>
        <w:t xml:space="preserve"> </w:t>
      </w:r>
    </w:p>
    <w:p w14:paraId="427CC7CD" w14:textId="4809DEA9" w:rsidR="009A242E" w:rsidRDefault="009A242E" w:rsidP="00477F4C">
      <w:pPr>
        <w:rPr>
          <w:rStyle w:val="normaltextrun"/>
          <w:rFonts w:cstheme="minorHAnsi"/>
        </w:rPr>
      </w:pPr>
    </w:p>
    <w:p w14:paraId="3DAFD568" w14:textId="6E50BFCE" w:rsidR="009A242E" w:rsidRDefault="00B857CD" w:rsidP="71C32B36">
      <w:pPr>
        <w:rPr>
          <w:rStyle w:val="normaltextrun"/>
        </w:rPr>
      </w:pPr>
      <w:r w:rsidRPr="5640FDA3">
        <w:rPr>
          <w:rStyle w:val="normaltextrun"/>
        </w:rPr>
        <w:t>Senator Ledbetter explained that</w:t>
      </w:r>
      <w:r w:rsidR="009F2FE7" w:rsidRPr="5640FDA3">
        <w:rPr>
          <w:rStyle w:val="normaltextrun"/>
        </w:rPr>
        <w:t xml:space="preserve"> while</w:t>
      </w:r>
      <w:r w:rsidRPr="5640FDA3">
        <w:rPr>
          <w:rStyle w:val="normaltextrun"/>
        </w:rPr>
        <w:t xml:space="preserve"> s</w:t>
      </w:r>
      <w:r w:rsidR="009A242E" w:rsidRPr="5640FDA3">
        <w:rPr>
          <w:rStyle w:val="normaltextrun"/>
        </w:rPr>
        <w:t xml:space="preserve">alaries for incoming faculty have been near the CUPA standard for their positions, </w:t>
      </w:r>
      <w:r w:rsidR="00BB7CAB" w:rsidRPr="5640FDA3">
        <w:rPr>
          <w:rStyle w:val="normaltextrun"/>
        </w:rPr>
        <w:t>long</w:t>
      </w:r>
      <w:r w:rsidRPr="5640FDA3">
        <w:rPr>
          <w:rStyle w:val="normaltextrun"/>
        </w:rPr>
        <w:t>er</w:t>
      </w:r>
      <w:r w:rsidR="00BB7CAB" w:rsidRPr="5640FDA3">
        <w:rPr>
          <w:rStyle w:val="normaltextrun"/>
        </w:rPr>
        <w:t xml:space="preserve"> serving faculty </w:t>
      </w:r>
      <w:r w:rsidRPr="5640FDA3">
        <w:rPr>
          <w:rStyle w:val="normaltextrun"/>
        </w:rPr>
        <w:t xml:space="preserve">have fallen </w:t>
      </w:r>
      <w:r w:rsidR="009F2FE7" w:rsidRPr="5640FDA3">
        <w:rPr>
          <w:rStyle w:val="normaltextrun"/>
        </w:rPr>
        <w:t xml:space="preserve">well </w:t>
      </w:r>
      <w:r w:rsidR="00BB7CAB" w:rsidRPr="5640FDA3">
        <w:rPr>
          <w:rStyle w:val="normaltextrun"/>
        </w:rPr>
        <w:t>below</w:t>
      </w:r>
      <w:r w:rsidRPr="5640FDA3">
        <w:rPr>
          <w:rStyle w:val="normaltextrun"/>
        </w:rPr>
        <w:t xml:space="preserve"> this average</w:t>
      </w:r>
      <w:r w:rsidR="00BB7CAB" w:rsidRPr="5640FDA3">
        <w:rPr>
          <w:rStyle w:val="normaltextrun"/>
        </w:rPr>
        <w:t xml:space="preserve">.  Dr. Bourgeois </w:t>
      </w:r>
      <w:r w:rsidR="00B535F8" w:rsidRPr="5640FDA3">
        <w:rPr>
          <w:rStyle w:val="normaltextrun"/>
        </w:rPr>
        <w:t>claimed that in many areas</w:t>
      </w:r>
      <w:r w:rsidR="009F2FE7" w:rsidRPr="5640FDA3">
        <w:rPr>
          <w:rStyle w:val="normaltextrun"/>
        </w:rPr>
        <w:t>,</w:t>
      </w:r>
      <w:r w:rsidR="00B535F8" w:rsidRPr="5640FDA3">
        <w:rPr>
          <w:rStyle w:val="normaltextrun"/>
        </w:rPr>
        <w:t xml:space="preserve"> faculty salaries </w:t>
      </w:r>
      <w:r w:rsidR="00A0547B" w:rsidRPr="5640FDA3">
        <w:rPr>
          <w:rStyle w:val="normaltextrun"/>
        </w:rPr>
        <w:t>are at or above CUPA, but he acknowledged that there are some areas that are deficient</w:t>
      </w:r>
      <w:r w:rsidR="00B535F8" w:rsidRPr="5640FDA3">
        <w:rPr>
          <w:rStyle w:val="normaltextrun"/>
        </w:rPr>
        <w:t xml:space="preserve">.  </w:t>
      </w:r>
      <w:r w:rsidR="00290BA0" w:rsidRPr="5640FDA3">
        <w:rPr>
          <w:rStyle w:val="normaltextrun"/>
        </w:rPr>
        <w:t>The way to address this would be for</w:t>
      </w:r>
      <w:r w:rsidR="00627AAE" w:rsidRPr="5640FDA3">
        <w:rPr>
          <w:rStyle w:val="normaltextrun"/>
        </w:rPr>
        <w:t xml:space="preserve"> a</w:t>
      </w:r>
      <w:r w:rsidR="00B535F8" w:rsidRPr="5640FDA3">
        <w:rPr>
          <w:rStyle w:val="normaltextrun"/>
        </w:rPr>
        <w:t xml:space="preserve">cademic affairs </w:t>
      </w:r>
      <w:r w:rsidR="00290BA0" w:rsidRPr="5640FDA3">
        <w:rPr>
          <w:rStyle w:val="normaltextrun"/>
        </w:rPr>
        <w:t xml:space="preserve">to </w:t>
      </w:r>
      <w:r w:rsidR="00B535F8" w:rsidRPr="5640FDA3">
        <w:rPr>
          <w:rStyle w:val="normaltextrun"/>
        </w:rPr>
        <w:t xml:space="preserve">recommend to the cabinet that </w:t>
      </w:r>
      <w:r w:rsidR="00A0547B" w:rsidRPr="5640FDA3">
        <w:rPr>
          <w:rStyle w:val="normaltextrun"/>
        </w:rPr>
        <w:t xml:space="preserve">a portion of the </w:t>
      </w:r>
      <w:r w:rsidR="00627AAE" w:rsidRPr="5640FDA3">
        <w:rPr>
          <w:rStyle w:val="normaltextrun"/>
        </w:rPr>
        <w:t xml:space="preserve">merit pool </w:t>
      </w:r>
      <w:r w:rsidR="00444209" w:rsidRPr="5640FDA3">
        <w:rPr>
          <w:rStyle w:val="normaltextrun"/>
        </w:rPr>
        <w:t xml:space="preserve">should </w:t>
      </w:r>
      <w:r w:rsidR="00627AAE" w:rsidRPr="5640FDA3">
        <w:rPr>
          <w:rStyle w:val="normaltextrun"/>
        </w:rPr>
        <w:t>be set aside for equity adjustments.</w:t>
      </w:r>
      <w:r w:rsidRPr="5640FDA3">
        <w:rPr>
          <w:rStyle w:val="normaltextrun"/>
        </w:rPr>
        <w:t xml:space="preserve">  </w:t>
      </w:r>
      <w:r w:rsidR="000A38D1" w:rsidRPr="5640FDA3">
        <w:rPr>
          <w:rStyle w:val="normaltextrun"/>
        </w:rPr>
        <w:t xml:space="preserve">Again, such increases would need to be funded by additional income.  </w:t>
      </w:r>
      <w:r w:rsidR="00444209" w:rsidRPr="5640FDA3">
        <w:rPr>
          <w:rStyle w:val="normaltextrun"/>
        </w:rPr>
        <w:t xml:space="preserve">One source of new income is the creation of new programs. </w:t>
      </w:r>
      <w:r w:rsidR="00945F78" w:rsidRPr="5640FDA3">
        <w:rPr>
          <w:rStyle w:val="normaltextrun"/>
        </w:rPr>
        <w:t xml:space="preserve"> President Trauth noted that </w:t>
      </w:r>
      <w:r w:rsidR="00372CC2" w:rsidRPr="5640FDA3">
        <w:rPr>
          <w:rStyle w:val="normaltextrun"/>
        </w:rPr>
        <w:t xml:space="preserve">in our last strategic planning cycle </w:t>
      </w:r>
      <w:r w:rsidR="00945F78" w:rsidRPr="5640FDA3">
        <w:rPr>
          <w:rStyle w:val="normaltextrun"/>
        </w:rPr>
        <w:t>we created 1</w:t>
      </w:r>
      <w:r w:rsidR="00372CC2" w:rsidRPr="5640FDA3">
        <w:rPr>
          <w:rStyle w:val="normaltextrun"/>
        </w:rPr>
        <w:t>9</w:t>
      </w:r>
      <w:r w:rsidR="00945F78" w:rsidRPr="5640FDA3">
        <w:rPr>
          <w:rStyle w:val="normaltextrun"/>
        </w:rPr>
        <w:t xml:space="preserve"> new programs</w:t>
      </w:r>
      <w:r w:rsidR="00372CC2" w:rsidRPr="5640FDA3">
        <w:rPr>
          <w:rStyle w:val="normaltextrun"/>
        </w:rPr>
        <w:t xml:space="preserve"> that have required investment in new faculty.  We are approaching the end of this cycle</w:t>
      </w:r>
      <w:r w:rsidR="00BC6F1E" w:rsidRPr="5640FDA3">
        <w:rPr>
          <w:rStyle w:val="normaltextrun"/>
        </w:rPr>
        <w:t xml:space="preserve">, and it is unlikely that such </w:t>
      </w:r>
      <w:r w:rsidR="009D0E6E" w:rsidRPr="5640FDA3">
        <w:rPr>
          <w:rStyle w:val="normaltextrun"/>
        </w:rPr>
        <w:t>a large investment will be made in the next strategic planning cycle.</w:t>
      </w:r>
    </w:p>
    <w:p w14:paraId="58E2A4EA" w14:textId="09DD800D" w:rsidR="00BC6F1E" w:rsidRDefault="00BC6F1E" w:rsidP="00477F4C">
      <w:pPr>
        <w:rPr>
          <w:rStyle w:val="normaltextrun"/>
          <w:rFonts w:cstheme="minorHAnsi"/>
        </w:rPr>
      </w:pPr>
    </w:p>
    <w:p w14:paraId="1105E617" w14:textId="3EA81328" w:rsidR="00236719" w:rsidRDefault="00BC6F1E" w:rsidP="00477F4C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A senator asked how </w:t>
      </w:r>
      <w:r w:rsidR="00E8425E">
        <w:rPr>
          <w:rStyle w:val="normaltextrun"/>
          <w:rFonts w:cstheme="minorHAnsi"/>
        </w:rPr>
        <w:t>other u</w:t>
      </w:r>
      <w:r w:rsidR="00E97AEF">
        <w:rPr>
          <w:rStyle w:val="normaltextrun"/>
          <w:rFonts w:cstheme="minorHAnsi"/>
        </w:rPr>
        <w:t xml:space="preserve">niversities handle budgets when they have flat enrollments.  </w:t>
      </w:r>
      <w:r w:rsidR="005C6114">
        <w:rPr>
          <w:rStyle w:val="normaltextrun"/>
          <w:rFonts w:cstheme="minorHAnsi"/>
        </w:rPr>
        <w:t>In short, t</w:t>
      </w:r>
      <w:r w:rsidR="00E8425E">
        <w:rPr>
          <w:rStyle w:val="normaltextrun"/>
          <w:rFonts w:cstheme="minorHAnsi"/>
        </w:rPr>
        <w:t xml:space="preserve">he university would need to reallocate funds.  This </w:t>
      </w:r>
      <w:r w:rsidR="005C6114">
        <w:rPr>
          <w:rStyle w:val="normaltextrun"/>
          <w:rFonts w:cstheme="minorHAnsi"/>
        </w:rPr>
        <w:t xml:space="preserve">has been </w:t>
      </w:r>
      <w:r w:rsidR="00E8425E">
        <w:rPr>
          <w:rStyle w:val="normaltextrun"/>
          <w:rFonts w:cstheme="minorHAnsi"/>
        </w:rPr>
        <w:t xml:space="preserve">done </w:t>
      </w:r>
      <w:r w:rsidR="005C6114">
        <w:rPr>
          <w:rStyle w:val="normaltextrun"/>
          <w:rFonts w:cstheme="minorHAnsi"/>
        </w:rPr>
        <w:t xml:space="preserve">only </w:t>
      </w:r>
      <w:r w:rsidR="00E8425E">
        <w:rPr>
          <w:rStyle w:val="normaltextrun"/>
          <w:rFonts w:cstheme="minorHAnsi"/>
        </w:rPr>
        <w:t>modestly at Texas State University, and mainly only within colleges</w:t>
      </w:r>
      <w:r w:rsidR="00733BF2">
        <w:rPr>
          <w:rStyle w:val="normaltextrun"/>
          <w:rFonts w:cstheme="minorHAnsi"/>
        </w:rPr>
        <w:t>.</w:t>
      </w:r>
      <w:r w:rsidR="009D2CEA">
        <w:rPr>
          <w:rStyle w:val="normaltextrun"/>
          <w:rFonts w:cstheme="minorHAnsi"/>
        </w:rPr>
        <w:t xml:space="preserve">  President Trauth clarified that even under flat enrollment</w:t>
      </w:r>
      <w:r w:rsidR="007E073E">
        <w:rPr>
          <w:rStyle w:val="normaltextrun"/>
          <w:rFonts w:cstheme="minorHAnsi"/>
        </w:rPr>
        <w:t xml:space="preserve"> conditions it is possible to increase income by increasing enrollment in programs that are better funded by the </w:t>
      </w:r>
      <w:r w:rsidR="005C6114">
        <w:rPr>
          <w:rStyle w:val="normaltextrun"/>
          <w:rFonts w:cstheme="minorHAnsi"/>
        </w:rPr>
        <w:t xml:space="preserve">state funding </w:t>
      </w:r>
      <w:r w:rsidR="007E073E">
        <w:rPr>
          <w:rStyle w:val="normaltextrun"/>
          <w:rFonts w:cstheme="minorHAnsi"/>
        </w:rPr>
        <w:t>formula, such as graduate programs or engineerin</w:t>
      </w:r>
      <w:r w:rsidR="005C6114">
        <w:rPr>
          <w:rStyle w:val="normaltextrun"/>
          <w:rFonts w:cstheme="minorHAnsi"/>
        </w:rPr>
        <w:t>g programs.</w:t>
      </w:r>
    </w:p>
    <w:p w14:paraId="2B395E8C" w14:textId="77777777" w:rsidR="00236719" w:rsidRDefault="00236719" w:rsidP="00477F4C">
      <w:pPr>
        <w:rPr>
          <w:rStyle w:val="normaltextrun"/>
          <w:rFonts w:cstheme="minorHAnsi"/>
        </w:rPr>
      </w:pPr>
    </w:p>
    <w:p w14:paraId="01F5F612" w14:textId="64CC957A" w:rsidR="00E8425E" w:rsidRDefault="001E20E1" w:rsidP="71C32B36">
      <w:pPr>
        <w:rPr>
          <w:rStyle w:val="normaltextrun"/>
        </w:rPr>
      </w:pPr>
      <w:r w:rsidRPr="71C32B36">
        <w:rPr>
          <w:rStyle w:val="normaltextrun"/>
        </w:rPr>
        <w:t>A senator noted that g</w:t>
      </w:r>
      <w:r w:rsidR="00236719" w:rsidRPr="71C32B36">
        <w:rPr>
          <w:rStyle w:val="normaltextrun"/>
        </w:rPr>
        <w:t xml:space="preserve">rowth along the I-35 corridor </w:t>
      </w:r>
      <w:r w:rsidRPr="71C32B36">
        <w:rPr>
          <w:rStyle w:val="normaltextrun"/>
        </w:rPr>
        <w:t xml:space="preserve">has been </w:t>
      </w:r>
      <w:r w:rsidR="00236719" w:rsidRPr="71C32B36">
        <w:rPr>
          <w:rStyle w:val="normaltextrun"/>
        </w:rPr>
        <w:t>rapid, resulting in higher costs of living.</w:t>
      </w:r>
      <w:r w:rsidR="004F734F" w:rsidRPr="71C32B36">
        <w:rPr>
          <w:rStyle w:val="normaltextrun"/>
        </w:rPr>
        <w:t xml:space="preserve">  This </w:t>
      </w:r>
      <w:r w:rsidRPr="71C32B36">
        <w:rPr>
          <w:rStyle w:val="normaltextrun"/>
        </w:rPr>
        <w:t xml:space="preserve">has </w:t>
      </w:r>
      <w:r w:rsidR="004F734F" w:rsidRPr="71C32B36">
        <w:rPr>
          <w:rStyle w:val="normaltextrun"/>
        </w:rPr>
        <w:t xml:space="preserve">also </w:t>
      </w:r>
      <w:r w:rsidRPr="71C32B36">
        <w:rPr>
          <w:rStyle w:val="normaltextrun"/>
        </w:rPr>
        <w:t xml:space="preserve">been </w:t>
      </w:r>
      <w:r w:rsidR="004F734F" w:rsidRPr="71C32B36">
        <w:rPr>
          <w:rStyle w:val="normaltextrun"/>
        </w:rPr>
        <w:t xml:space="preserve">coupled </w:t>
      </w:r>
      <w:r w:rsidR="1A69767C" w:rsidRPr="71C32B36">
        <w:rPr>
          <w:rStyle w:val="normaltextrun"/>
        </w:rPr>
        <w:t>with</w:t>
      </w:r>
      <w:r w:rsidR="004F734F" w:rsidRPr="71C32B36">
        <w:rPr>
          <w:rStyle w:val="normaltextrun"/>
        </w:rPr>
        <w:t xml:space="preserve"> </w:t>
      </w:r>
      <w:r w:rsidRPr="71C32B36">
        <w:rPr>
          <w:rStyle w:val="normaltextrun"/>
        </w:rPr>
        <w:t xml:space="preserve">incoming </w:t>
      </w:r>
      <w:r w:rsidR="004F734F" w:rsidRPr="71C32B36">
        <w:rPr>
          <w:rStyle w:val="normaltextrun"/>
        </w:rPr>
        <w:t>salary negotiations</w:t>
      </w:r>
      <w:r w:rsidR="00AB5C54" w:rsidRPr="71C32B36">
        <w:rPr>
          <w:rStyle w:val="normaltextrun"/>
        </w:rPr>
        <w:t xml:space="preserve">, resulting in additional salary compression.  Dr. Bourgeois </w:t>
      </w:r>
      <w:r w:rsidR="00F85BFC" w:rsidRPr="71C32B36">
        <w:rPr>
          <w:rStyle w:val="normaltextrun"/>
        </w:rPr>
        <w:t xml:space="preserve">explained that negotiations </w:t>
      </w:r>
      <w:r w:rsidR="00A11B8E">
        <w:rPr>
          <w:rStyle w:val="normaltextrun"/>
        </w:rPr>
        <w:t>are typically limited to within</w:t>
      </w:r>
      <w:r w:rsidR="005314AF">
        <w:rPr>
          <w:rStyle w:val="normaltextrun"/>
        </w:rPr>
        <w:t xml:space="preserve"> approximately</w:t>
      </w:r>
      <w:r w:rsidR="00F85BFC" w:rsidRPr="71C32B36">
        <w:rPr>
          <w:rStyle w:val="normaltextrun"/>
        </w:rPr>
        <w:t xml:space="preserve"> 5% of the CUPA median with some consideration for </w:t>
      </w:r>
      <w:r w:rsidR="000B601C" w:rsidRPr="71C32B36">
        <w:rPr>
          <w:rStyle w:val="normaltextrun"/>
        </w:rPr>
        <w:t>years in rank.  The salaries for incoming faculty have increased more in the past few years</w:t>
      </w:r>
      <w:r w:rsidR="00007F21" w:rsidRPr="71C32B36">
        <w:rPr>
          <w:rStyle w:val="normaltextrun"/>
        </w:rPr>
        <w:t xml:space="preserve"> resulting in additional salary compression.  Dr. Thorne explained that cost of living has only been invoked in a </w:t>
      </w:r>
      <w:r w:rsidR="00950684" w:rsidRPr="71C32B36">
        <w:rPr>
          <w:rStyle w:val="normaltextrun"/>
        </w:rPr>
        <w:t>couple of cases out of 50+ recent hires.</w:t>
      </w:r>
      <w:r w:rsidR="00D15DBC" w:rsidRPr="71C32B36">
        <w:rPr>
          <w:rStyle w:val="normaltextrun"/>
        </w:rPr>
        <w:t xml:space="preserve">  The viewpoint of the administration is that cost of living has not been a major factor</w:t>
      </w:r>
      <w:r w:rsidR="005D4443" w:rsidRPr="71C32B36">
        <w:rPr>
          <w:rStyle w:val="normaltextrun"/>
        </w:rPr>
        <w:t>.</w:t>
      </w:r>
    </w:p>
    <w:p w14:paraId="215A3051" w14:textId="1BFC4A47" w:rsidR="00A82049" w:rsidRDefault="00A82049" w:rsidP="00477F4C">
      <w:pPr>
        <w:rPr>
          <w:rStyle w:val="normaltextrun"/>
          <w:rFonts w:cstheme="minorHAnsi"/>
        </w:rPr>
      </w:pPr>
    </w:p>
    <w:p w14:paraId="1F0EC2A9" w14:textId="1D47A0F5" w:rsidR="00264B90" w:rsidRDefault="00761BF6" w:rsidP="71C32B36">
      <w:pPr>
        <w:rPr>
          <w:rStyle w:val="normaltextrun"/>
        </w:rPr>
      </w:pPr>
      <w:r w:rsidRPr="71C32B36">
        <w:rPr>
          <w:rStyle w:val="normaltextrun"/>
        </w:rPr>
        <w:t xml:space="preserve">A senator asked if the university tracks salaries in relationship to CUPA </w:t>
      </w:r>
      <w:r w:rsidR="005D4443" w:rsidRPr="71C32B36">
        <w:rPr>
          <w:rStyle w:val="normaltextrun"/>
        </w:rPr>
        <w:t xml:space="preserve">averages </w:t>
      </w:r>
      <w:r w:rsidRPr="71C32B36">
        <w:rPr>
          <w:rStyle w:val="normaltextrun"/>
        </w:rPr>
        <w:t xml:space="preserve">across disciplines and ranks.  </w:t>
      </w:r>
      <w:r w:rsidR="0604E3BB" w:rsidRPr="71C32B36">
        <w:rPr>
          <w:rStyle w:val="normaltextrun"/>
        </w:rPr>
        <w:t xml:space="preserve">The provost responded that </w:t>
      </w:r>
      <w:r w:rsidR="044361EA" w:rsidRPr="71C32B36">
        <w:rPr>
          <w:rStyle w:val="normaltextrun"/>
        </w:rPr>
        <w:t>y</w:t>
      </w:r>
      <w:r w:rsidR="00473878" w:rsidRPr="71C32B36">
        <w:rPr>
          <w:rStyle w:val="normaltextrun"/>
        </w:rPr>
        <w:t>es, an analysis is done annually</w:t>
      </w:r>
      <w:r w:rsidR="00E75F54" w:rsidRPr="71C32B36">
        <w:rPr>
          <w:rStyle w:val="normaltextrun"/>
        </w:rPr>
        <w:t xml:space="preserve">.  The report includes a great deal of data, including </w:t>
      </w:r>
      <w:r w:rsidR="00654DCF" w:rsidRPr="71C32B36">
        <w:rPr>
          <w:rStyle w:val="normaltextrun"/>
        </w:rPr>
        <w:t xml:space="preserve">the </w:t>
      </w:r>
      <w:r w:rsidR="00E75F54" w:rsidRPr="71C32B36">
        <w:rPr>
          <w:rStyle w:val="normaltextrun"/>
        </w:rPr>
        <w:t xml:space="preserve">number </w:t>
      </w:r>
      <w:r w:rsidR="00654DCF" w:rsidRPr="71C32B36">
        <w:rPr>
          <w:rStyle w:val="normaltextrun"/>
        </w:rPr>
        <w:t xml:space="preserve">of faculty </w:t>
      </w:r>
      <w:r w:rsidR="00E75F54" w:rsidRPr="71C32B36">
        <w:rPr>
          <w:rStyle w:val="normaltextrun"/>
        </w:rPr>
        <w:t xml:space="preserve">at rank, mean and median salaries, and </w:t>
      </w:r>
      <w:r w:rsidR="00654DCF" w:rsidRPr="71C32B36">
        <w:rPr>
          <w:rStyle w:val="normaltextrun"/>
        </w:rPr>
        <w:t xml:space="preserve">direct comparison to CUPA salaries for </w:t>
      </w:r>
      <w:r w:rsidR="005D4443" w:rsidRPr="71C32B36">
        <w:rPr>
          <w:rStyle w:val="normaltextrun"/>
        </w:rPr>
        <w:t>each</w:t>
      </w:r>
      <w:r w:rsidR="00654DCF" w:rsidRPr="71C32B36">
        <w:rPr>
          <w:rStyle w:val="normaltextrun"/>
        </w:rPr>
        <w:t xml:space="preserve"> position.  </w:t>
      </w:r>
      <w:r w:rsidR="002D13A1" w:rsidRPr="71C32B36">
        <w:rPr>
          <w:rStyle w:val="normaltextrun"/>
        </w:rPr>
        <w:t xml:space="preserve">The </w:t>
      </w:r>
      <w:r w:rsidR="00555B25" w:rsidRPr="71C32B36">
        <w:rPr>
          <w:rStyle w:val="normaltextrun"/>
        </w:rPr>
        <w:t xml:space="preserve">administration </w:t>
      </w:r>
      <w:r w:rsidR="002D13A1" w:rsidRPr="71C32B36">
        <w:rPr>
          <w:rStyle w:val="normaltextrun"/>
        </w:rPr>
        <w:t>is aware that s</w:t>
      </w:r>
      <w:r w:rsidR="004A514C" w:rsidRPr="71C32B36">
        <w:rPr>
          <w:rStyle w:val="normaltextrun"/>
        </w:rPr>
        <w:t>ome positions are as low as 70-80% of CUPA, but many others are at or above CUPA.</w:t>
      </w:r>
      <w:r w:rsidR="002D13A1" w:rsidRPr="71C32B36">
        <w:rPr>
          <w:rStyle w:val="normaltextrun"/>
        </w:rPr>
        <w:t xml:space="preserve">  CIP codes are needed for </w:t>
      </w:r>
      <w:r w:rsidR="00035499" w:rsidRPr="71C32B36">
        <w:rPr>
          <w:rStyle w:val="normaltextrun"/>
        </w:rPr>
        <w:t xml:space="preserve">new programs and positions to ensure that accurate comparisons are made.  The </w:t>
      </w:r>
      <w:r w:rsidR="00136F76" w:rsidRPr="71C32B36">
        <w:rPr>
          <w:rStyle w:val="normaltextrun"/>
        </w:rPr>
        <w:t xml:space="preserve">recent analysis data </w:t>
      </w:r>
      <w:r w:rsidR="00035499" w:rsidRPr="71C32B36">
        <w:rPr>
          <w:rStyle w:val="normaltextrun"/>
        </w:rPr>
        <w:t>may be shared with faculty senate</w:t>
      </w:r>
      <w:r w:rsidR="00136F76" w:rsidRPr="71C32B36">
        <w:rPr>
          <w:rStyle w:val="normaltextrun"/>
        </w:rPr>
        <w:t xml:space="preserve"> upon request</w:t>
      </w:r>
      <w:r w:rsidR="00035499" w:rsidRPr="71C32B36">
        <w:rPr>
          <w:rStyle w:val="normaltextrun"/>
        </w:rPr>
        <w:t>.</w:t>
      </w:r>
      <w:r w:rsidR="00F66973" w:rsidRPr="71C32B36">
        <w:rPr>
          <w:rStyle w:val="normaltextrun"/>
        </w:rPr>
        <w:t xml:space="preserve">  </w:t>
      </w:r>
    </w:p>
    <w:p w14:paraId="27DD0132" w14:textId="77777777" w:rsidR="00264B90" w:rsidRDefault="00264B90" w:rsidP="00477F4C">
      <w:pPr>
        <w:rPr>
          <w:rStyle w:val="normaltextrun"/>
          <w:rFonts w:cstheme="minorHAnsi"/>
        </w:rPr>
      </w:pPr>
    </w:p>
    <w:p w14:paraId="38BA37C5" w14:textId="144EA357" w:rsidR="00A82049" w:rsidRDefault="00176FD6" w:rsidP="00477F4C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Texas State is underfunded by state subsidies due to </w:t>
      </w:r>
      <w:proofErr w:type="gramStart"/>
      <w:r>
        <w:rPr>
          <w:rStyle w:val="normaltextrun"/>
          <w:rFonts w:cstheme="minorHAnsi"/>
        </w:rPr>
        <w:t>a number of</w:t>
      </w:r>
      <w:proofErr w:type="gramEnd"/>
      <w:r>
        <w:rPr>
          <w:rStyle w:val="normaltextrun"/>
          <w:rFonts w:cstheme="minorHAnsi"/>
        </w:rPr>
        <w:t xml:space="preserve"> factors, and the administration recognizes that </w:t>
      </w:r>
      <w:r w:rsidR="00F66973">
        <w:rPr>
          <w:rStyle w:val="normaltextrun"/>
          <w:rFonts w:cstheme="minorHAnsi"/>
        </w:rPr>
        <w:t>faculty are pa</w:t>
      </w:r>
      <w:r w:rsidR="00B221C7">
        <w:rPr>
          <w:rStyle w:val="normaltextrun"/>
          <w:rFonts w:cstheme="minorHAnsi"/>
        </w:rPr>
        <w:t>id</w:t>
      </w:r>
      <w:r w:rsidR="00F66973">
        <w:rPr>
          <w:rStyle w:val="normaltextrun"/>
          <w:rFonts w:cstheme="minorHAnsi"/>
        </w:rPr>
        <w:t xml:space="preserve"> lower than our peers</w:t>
      </w:r>
      <w:r>
        <w:rPr>
          <w:rStyle w:val="normaltextrun"/>
          <w:rFonts w:cstheme="minorHAnsi"/>
        </w:rPr>
        <w:t>.</w:t>
      </w:r>
      <w:r w:rsidR="00A95625">
        <w:rPr>
          <w:rStyle w:val="normaltextrun"/>
          <w:rFonts w:cstheme="minorHAnsi"/>
        </w:rPr>
        <w:t xml:space="preserve">  </w:t>
      </w:r>
      <w:r w:rsidR="001D02E6">
        <w:rPr>
          <w:rStyle w:val="normaltextrun"/>
          <w:rFonts w:cstheme="minorHAnsi"/>
        </w:rPr>
        <w:t xml:space="preserve">President Trauth </w:t>
      </w:r>
      <w:r w:rsidR="00A95625">
        <w:rPr>
          <w:rStyle w:val="normaltextrun"/>
          <w:rFonts w:cstheme="minorHAnsi"/>
        </w:rPr>
        <w:t xml:space="preserve">stated </w:t>
      </w:r>
      <w:r w:rsidR="00112397">
        <w:rPr>
          <w:rStyle w:val="normaltextrun"/>
          <w:rFonts w:cstheme="minorHAnsi"/>
        </w:rPr>
        <w:t xml:space="preserve">that </w:t>
      </w:r>
      <w:r w:rsidR="00A95625">
        <w:rPr>
          <w:rStyle w:val="normaltextrun"/>
          <w:rFonts w:cstheme="minorHAnsi"/>
        </w:rPr>
        <w:t xml:space="preserve">raising faculty salaries </w:t>
      </w:r>
      <w:r w:rsidR="00112397">
        <w:rPr>
          <w:rStyle w:val="normaltextrun"/>
          <w:rFonts w:cstheme="minorHAnsi"/>
        </w:rPr>
        <w:t xml:space="preserve">should </w:t>
      </w:r>
      <w:r w:rsidR="001D02E6">
        <w:rPr>
          <w:rStyle w:val="normaltextrun"/>
          <w:rFonts w:cstheme="minorHAnsi"/>
        </w:rPr>
        <w:t>continue to be priori</w:t>
      </w:r>
      <w:r w:rsidR="00112397">
        <w:rPr>
          <w:rStyle w:val="normaltextrun"/>
          <w:rFonts w:cstheme="minorHAnsi"/>
        </w:rPr>
        <w:t>tized in the next strategic plan.</w:t>
      </w:r>
    </w:p>
    <w:p w14:paraId="36D12251" w14:textId="77777777" w:rsidR="00112397" w:rsidRDefault="00112397" w:rsidP="00DB43E4">
      <w:pPr>
        <w:rPr>
          <w:rStyle w:val="normaltextrun"/>
          <w:rFonts w:cstheme="minorHAnsi"/>
        </w:rPr>
      </w:pPr>
    </w:p>
    <w:p w14:paraId="164BEFB7" w14:textId="0848C208" w:rsidR="00841294" w:rsidRPr="00082C58" w:rsidRDefault="00082C58" w:rsidP="00DB43E4">
      <w:pPr>
        <w:rPr>
          <w:rStyle w:val="normaltextrun"/>
          <w:rFonts w:cstheme="minorHAnsi"/>
          <w:b/>
          <w:bCs/>
        </w:rPr>
      </w:pPr>
      <w:r w:rsidRPr="00082C58">
        <w:rPr>
          <w:rStyle w:val="normaltextrun"/>
          <w:rFonts w:cstheme="minorHAnsi"/>
          <w:b/>
          <w:bCs/>
        </w:rPr>
        <w:t>Strategic Planning</w:t>
      </w:r>
    </w:p>
    <w:p w14:paraId="7C92E0A0" w14:textId="1092DDB4" w:rsidR="007E3A49" w:rsidRDefault="00D70BF0" w:rsidP="00477F4C">
      <w:r>
        <w:t xml:space="preserve">Strategic planning starts in January 2022, beginning with </w:t>
      </w:r>
      <w:r w:rsidR="00F23859">
        <w:t xml:space="preserve">a </w:t>
      </w:r>
      <w:r>
        <w:t>mission review</w:t>
      </w:r>
      <w:r w:rsidR="00F23859">
        <w:t>.  The university evaluates trends in our environment and key stakeholders.</w:t>
      </w:r>
      <w:r w:rsidR="000B4FD6">
        <w:t xml:space="preserve">  The cabinet reviews incoming information in the summer </w:t>
      </w:r>
      <w:r w:rsidR="00E932BF">
        <w:t xml:space="preserve">to construct a statement for review by the Board of Regents.  The </w:t>
      </w:r>
      <w:r w:rsidR="00264B90">
        <w:t xml:space="preserve">strategic </w:t>
      </w:r>
      <w:r w:rsidR="00E932BF">
        <w:t xml:space="preserve">plan </w:t>
      </w:r>
      <w:r w:rsidR="00264B90">
        <w:t>will be</w:t>
      </w:r>
      <w:r w:rsidR="00E932BF">
        <w:t xml:space="preserve"> developed </w:t>
      </w:r>
      <w:r w:rsidR="00264B90">
        <w:t>beginning in</w:t>
      </w:r>
      <w:r w:rsidR="00E932BF">
        <w:t xml:space="preserve"> fall 2022</w:t>
      </w:r>
      <w:r w:rsidR="00224F23">
        <w:t xml:space="preserve"> in a top-down/bottom-up approach.</w:t>
      </w:r>
      <w:r w:rsidR="00BF639A">
        <w:t xml:space="preserve">  </w:t>
      </w:r>
    </w:p>
    <w:p w14:paraId="5195AE70" w14:textId="77777777" w:rsidR="007E3A49" w:rsidRDefault="007E3A49" w:rsidP="00477F4C"/>
    <w:p w14:paraId="2DA31667" w14:textId="1509CBE7" w:rsidR="00881DEF" w:rsidRDefault="00BF639A" w:rsidP="00477F4C">
      <w:r>
        <w:t>A question was asked about new faculty lines</w:t>
      </w:r>
      <w:r w:rsidR="007E3A49">
        <w:t xml:space="preserve"> in the coming cycle</w:t>
      </w:r>
      <w:r>
        <w:t xml:space="preserve">.  In the previous cycle, new lines were largely tied to new programs.  Since fewer new programs are expected in the coming cycle, </w:t>
      </w:r>
      <w:r w:rsidR="00631B31">
        <w:t xml:space="preserve">more </w:t>
      </w:r>
      <w:r w:rsidR="00E47034">
        <w:t xml:space="preserve">new lines </w:t>
      </w:r>
      <w:r w:rsidR="00631B31">
        <w:t xml:space="preserve">may be </w:t>
      </w:r>
      <w:r w:rsidR="00E47034">
        <w:t xml:space="preserve">approved in </w:t>
      </w:r>
      <w:r w:rsidR="00631B31">
        <w:t>existing programs</w:t>
      </w:r>
      <w:r w:rsidR="00E47034">
        <w:t xml:space="preserve">.  </w:t>
      </w:r>
      <w:r w:rsidR="004B02DA">
        <w:t xml:space="preserve">No new Ph.D. programs were advanced in the past cycle, but these programs are needed to progress to </w:t>
      </w:r>
      <w:r w:rsidR="009E50C1">
        <w:t xml:space="preserve">National Research University </w:t>
      </w:r>
      <w:r w:rsidR="004B02DA">
        <w:t xml:space="preserve">status.  </w:t>
      </w:r>
      <w:r w:rsidR="0058576B">
        <w:t xml:space="preserve">High research expenditures from new programs are an important product of new programs.  </w:t>
      </w:r>
      <w:r w:rsidR="004B02DA">
        <w:t xml:space="preserve">New Ph.D. programs are </w:t>
      </w:r>
      <w:r w:rsidR="007F5D75">
        <w:t xml:space="preserve">typically </w:t>
      </w:r>
      <w:r w:rsidR="004B02DA">
        <w:t>expensive, so these need to be selected carefully.</w:t>
      </w:r>
      <w:r w:rsidR="007F5D75">
        <w:t xml:space="preserve"> </w:t>
      </w:r>
      <w:r w:rsidR="00551C8A">
        <w:t xml:space="preserve">The </w:t>
      </w:r>
      <w:r w:rsidR="000B4785">
        <w:t xml:space="preserve">B.S. </w:t>
      </w:r>
      <w:r w:rsidR="00722CE8">
        <w:t xml:space="preserve">mechanical engineering </w:t>
      </w:r>
      <w:r w:rsidR="000B4785">
        <w:t>program was advanced</w:t>
      </w:r>
      <w:r w:rsidR="00551C8A">
        <w:t xml:space="preserve"> ahead of two </w:t>
      </w:r>
      <w:r w:rsidR="00415E74">
        <w:t xml:space="preserve">new prioritized </w:t>
      </w:r>
      <w:r w:rsidR="00551C8A">
        <w:t>Ph.D. programs because it was expected to be</w:t>
      </w:r>
      <w:r w:rsidR="00880B34">
        <w:t xml:space="preserve"> revenue positive within five years (+$3-5 million)</w:t>
      </w:r>
      <w:r w:rsidR="007E3A49">
        <w:t>.</w:t>
      </w:r>
      <w:r w:rsidR="00EE5737">
        <w:t xml:space="preserve">  A senator asked whether current programs were being </w:t>
      </w:r>
      <w:r w:rsidR="00B901D6">
        <w:t>jeopardized</w:t>
      </w:r>
      <w:r w:rsidR="00EE5737">
        <w:t xml:space="preserve"> by </w:t>
      </w:r>
      <w:r w:rsidR="00B901D6">
        <w:t>focusing on new programs</w:t>
      </w:r>
      <w:r w:rsidR="00EE5737">
        <w:t xml:space="preserve">.  President Trauth </w:t>
      </w:r>
      <w:r w:rsidR="003508A0">
        <w:t xml:space="preserve">assured the senate that our current programs would continue to be adequately funded.  </w:t>
      </w:r>
    </w:p>
    <w:p w14:paraId="75F8AE44" w14:textId="77777777" w:rsidR="00881DEF" w:rsidRDefault="00881DEF" w:rsidP="00477F4C"/>
    <w:p w14:paraId="40F57B9D" w14:textId="0AAA0B92" w:rsidR="001F43C4" w:rsidRDefault="00881DEF" w:rsidP="00477F4C">
      <w:r>
        <w:t>A senator noted that p</w:t>
      </w:r>
      <w:r w:rsidR="003508A0">
        <w:t xml:space="preserve">otentially robust programs in non-STEM </w:t>
      </w:r>
      <w:r>
        <w:t xml:space="preserve">fields will be left out if </w:t>
      </w:r>
      <w:r w:rsidR="001423E5">
        <w:t xml:space="preserve">new programs are created specifically to increase </w:t>
      </w:r>
      <w:r>
        <w:t>formula funding.</w:t>
      </w:r>
      <w:r w:rsidR="00B901D6">
        <w:t xml:space="preserve">  </w:t>
      </w:r>
      <w:r w:rsidR="00C3393A">
        <w:t>President Trauth clarified that</w:t>
      </w:r>
      <w:r w:rsidR="00B901D6">
        <w:t xml:space="preserve"> </w:t>
      </w:r>
      <w:r w:rsidR="00C3393A">
        <w:t xml:space="preserve">a </w:t>
      </w:r>
      <w:r w:rsidR="00B901D6">
        <w:t>complete research university has an array of programs</w:t>
      </w:r>
      <w:r w:rsidR="00C3393A">
        <w:t xml:space="preserve">, including </w:t>
      </w:r>
      <w:r w:rsidR="0009067E">
        <w:t xml:space="preserve">many that are not likely to yield high revenue.  </w:t>
      </w:r>
      <w:r w:rsidR="008416DF">
        <w:t xml:space="preserve">The recent decisions made </w:t>
      </w:r>
      <w:r w:rsidR="00FC43D7">
        <w:t xml:space="preserve">to develop revenue positive programs were </w:t>
      </w:r>
      <w:r w:rsidR="008416DF">
        <w:lastRenderedPageBreak/>
        <w:t xml:space="preserve">based on the current financial climate, and they do not reflect a philosophical </w:t>
      </w:r>
      <w:r w:rsidR="00AA0299">
        <w:t xml:space="preserve">shift </w:t>
      </w:r>
      <w:r w:rsidR="008416DF">
        <w:t>at the university.</w:t>
      </w:r>
    </w:p>
    <w:p w14:paraId="5A3FA07C" w14:textId="55FCA404" w:rsidR="00FB78EF" w:rsidRDefault="00FB78EF" w:rsidP="00DB43E4"/>
    <w:p w14:paraId="582D07AA" w14:textId="73792E25" w:rsidR="00FB78EF" w:rsidRPr="00DB43E4" w:rsidRDefault="000B7CBC" w:rsidP="00DB43E4">
      <w:pPr>
        <w:rPr>
          <w:b/>
          <w:bCs/>
        </w:rPr>
      </w:pPr>
      <w:r w:rsidRPr="00DB43E4">
        <w:rPr>
          <w:b/>
          <w:bCs/>
        </w:rPr>
        <w:t xml:space="preserve">Diversity, Equity, Inclusion, and Accessibility </w:t>
      </w:r>
      <w:r w:rsidR="00FB78EF" w:rsidRPr="00DB43E4">
        <w:rPr>
          <w:b/>
          <w:bCs/>
        </w:rPr>
        <w:t>Initiatives</w:t>
      </w:r>
    </w:p>
    <w:p w14:paraId="249415A5" w14:textId="304A4F4E" w:rsidR="001F43C4" w:rsidRDefault="006C3F45" w:rsidP="00477F4C">
      <w:r>
        <w:t xml:space="preserve">A </w:t>
      </w:r>
      <w:r w:rsidR="003408FF">
        <w:t>s</w:t>
      </w:r>
      <w:r w:rsidR="000B7CBC">
        <w:t>earch committee training</w:t>
      </w:r>
      <w:r w:rsidR="003408FF">
        <w:t xml:space="preserve"> course </w:t>
      </w:r>
      <w:r>
        <w:t xml:space="preserve">was developed by Scott Bowman with help from many others as a Canvas </w:t>
      </w:r>
      <w:r w:rsidR="00555A2C">
        <w:t>course.  It</w:t>
      </w:r>
      <w:r>
        <w:t xml:space="preserve"> </w:t>
      </w:r>
      <w:r w:rsidR="00AD2EFC">
        <w:t>has been thoroughly reviewed, and i</w:t>
      </w:r>
      <w:r w:rsidR="00EA2F46">
        <w:t>t is now complete</w:t>
      </w:r>
      <w:r w:rsidR="00AD2EFC">
        <w:t xml:space="preserve">.  </w:t>
      </w:r>
      <w:r w:rsidR="000204AD">
        <w:t xml:space="preserve">The training </w:t>
      </w:r>
      <w:r w:rsidR="008811B7">
        <w:t>i</w:t>
      </w:r>
      <w:r w:rsidR="14C87889">
        <w:t>s</w:t>
      </w:r>
      <w:r w:rsidR="008811B7">
        <w:t xml:space="preserve"> </w:t>
      </w:r>
      <w:proofErr w:type="gramStart"/>
      <w:r w:rsidR="008811B7">
        <w:t>innovative</w:t>
      </w:r>
      <w:proofErr w:type="gramEnd"/>
      <w:r w:rsidR="008811B7">
        <w:t xml:space="preserve"> and it </w:t>
      </w:r>
      <w:r w:rsidR="000204AD">
        <w:t>encourages users to think about what they can do better.</w:t>
      </w:r>
      <w:r w:rsidR="00FB5975">
        <w:t xml:space="preserve">  It will be launched </w:t>
      </w:r>
      <w:r w:rsidR="00125394">
        <w:t xml:space="preserve">by an announcement by the </w:t>
      </w:r>
      <w:proofErr w:type="gramStart"/>
      <w:r w:rsidR="00125394">
        <w:t>Provost</w:t>
      </w:r>
      <w:proofErr w:type="gramEnd"/>
      <w:r w:rsidR="00C76998">
        <w:t xml:space="preserve"> in the near future</w:t>
      </w:r>
      <w:r w:rsidR="00FB5975">
        <w:t xml:space="preserve">.  The training takes 1-1.5 hours </w:t>
      </w:r>
    </w:p>
    <w:p w14:paraId="5C0012CE" w14:textId="758C1C50" w:rsidR="002F5F5E" w:rsidRDefault="002F5F5E" w:rsidP="00477F4C"/>
    <w:p w14:paraId="6A24364B" w14:textId="4C99CFBA" w:rsidR="005668DB" w:rsidRDefault="008811B7" w:rsidP="00477F4C">
      <w:r>
        <w:t xml:space="preserve">Recommendations were made to the President’s Cabinet </w:t>
      </w:r>
      <w:r w:rsidR="152FAE39">
        <w:t xml:space="preserve">in May </w:t>
      </w:r>
      <w:r>
        <w:t xml:space="preserve">by the Diversity, Equity, and Inclusion Training Task force </w:t>
      </w:r>
      <w:r w:rsidR="00900074">
        <w:t>to require training for all faculty and staff.  A</w:t>
      </w:r>
      <w:r w:rsidR="00332634">
        <w:t xml:space="preserve"> </w:t>
      </w:r>
      <w:r w:rsidR="00857985">
        <w:t>workgroup was organized in the summer</w:t>
      </w:r>
      <w:r w:rsidR="00C7317A">
        <w:t xml:space="preserve"> to develop a plan</w:t>
      </w:r>
      <w:r w:rsidR="00857985">
        <w:t xml:space="preserve">.  The university is partnering with </w:t>
      </w:r>
      <w:proofErr w:type="spellStart"/>
      <w:r w:rsidR="00ED2956">
        <w:t>Everfi</w:t>
      </w:r>
      <w:proofErr w:type="spellEnd"/>
      <w:r w:rsidR="00C7317A">
        <w:t xml:space="preserve">, a company offering online DEIA training.  </w:t>
      </w:r>
      <w:proofErr w:type="spellStart"/>
      <w:r w:rsidR="00C7317A">
        <w:t>Everfi</w:t>
      </w:r>
      <w:proofErr w:type="spellEnd"/>
      <w:r w:rsidR="00ED2956">
        <w:t xml:space="preserve"> was</w:t>
      </w:r>
      <w:r w:rsidR="00115BD6">
        <w:t xml:space="preserve"> then</w:t>
      </w:r>
      <w:r w:rsidR="00ED2956">
        <w:t xml:space="preserve"> </w:t>
      </w:r>
      <w:r w:rsidR="00115BD6">
        <w:t>acquired</w:t>
      </w:r>
      <w:r w:rsidR="00ED2956">
        <w:t xml:space="preserve"> by Vector Solutions.  This increased the number of </w:t>
      </w:r>
      <w:r w:rsidR="00115BD6">
        <w:t xml:space="preserve">potential training </w:t>
      </w:r>
      <w:r w:rsidR="00ED2956">
        <w:t xml:space="preserve">offerings, but </w:t>
      </w:r>
      <w:r w:rsidR="00C21BEA">
        <w:t xml:space="preserve">due to reorganization, </w:t>
      </w:r>
      <w:r w:rsidR="00ED2956">
        <w:t xml:space="preserve">this company is not yet ready </w:t>
      </w:r>
      <w:r w:rsidR="00C21BEA">
        <w:t>to roll out the training module</w:t>
      </w:r>
      <w:r w:rsidR="00581F60">
        <w:t>s</w:t>
      </w:r>
      <w:r w:rsidR="00ED2956">
        <w:t>.</w:t>
      </w:r>
      <w:r w:rsidR="008D0BF6">
        <w:t xml:space="preserve">  </w:t>
      </w:r>
      <w:r w:rsidR="006E5DE8">
        <w:t>In addition, t</w:t>
      </w:r>
      <w:r w:rsidR="00E21ECB">
        <w:t xml:space="preserve">here are </w:t>
      </w:r>
      <w:proofErr w:type="gramStart"/>
      <w:r w:rsidR="00E21ECB">
        <w:t>a number of</w:t>
      </w:r>
      <w:proofErr w:type="gramEnd"/>
      <w:r w:rsidR="00E21ECB">
        <w:t xml:space="preserve"> questions that remain.  For example, </w:t>
      </w:r>
      <w:r w:rsidR="00D43A93">
        <w:t>would a faculty member that goes through the search committee training</w:t>
      </w:r>
      <w:r w:rsidR="005668DB">
        <w:t xml:space="preserve"> also be required to participate in the online</w:t>
      </w:r>
      <w:r w:rsidR="006E5DE8">
        <w:t xml:space="preserve">.  </w:t>
      </w:r>
      <w:r w:rsidR="005668DB">
        <w:t>January is a target date for a soft launch</w:t>
      </w:r>
      <w:r w:rsidR="006E5DE8">
        <w:t xml:space="preserve"> of the new training program.</w:t>
      </w:r>
    </w:p>
    <w:p w14:paraId="00FCFCCF" w14:textId="5239C9ED" w:rsidR="005668DB" w:rsidRDefault="005668DB" w:rsidP="00DB43E4"/>
    <w:p w14:paraId="0E046291" w14:textId="42F3AAC2" w:rsidR="007307A4" w:rsidRPr="00DB43E4" w:rsidRDefault="007307A4" w:rsidP="00DB43E4">
      <w:pPr>
        <w:rPr>
          <w:b/>
          <w:bCs/>
        </w:rPr>
      </w:pPr>
      <w:r w:rsidRPr="00DB43E4">
        <w:rPr>
          <w:b/>
          <w:bCs/>
        </w:rPr>
        <w:t>Interaction between Texas State University</w:t>
      </w:r>
      <w:r w:rsidR="00A815C6" w:rsidRPr="00DB43E4">
        <w:rPr>
          <w:b/>
          <w:bCs/>
        </w:rPr>
        <w:t xml:space="preserve"> and the Board of Regents</w:t>
      </w:r>
    </w:p>
    <w:p w14:paraId="094B43E9" w14:textId="1C626AE7" w:rsidR="005668DB" w:rsidRDefault="00581F60" w:rsidP="00477F4C">
      <w:r>
        <w:t xml:space="preserve">The senate </w:t>
      </w:r>
      <w:r w:rsidR="00126FCA">
        <w:t xml:space="preserve">asked how </w:t>
      </w:r>
      <w:r w:rsidR="005A0E35">
        <w:t xml:space="preserve">the interests of Texas State University are promoted </w:t>
      </w:r>
      <w:r w:rsidR="00D86C3E">
        <w:t>at the system level, in the context of shared governance.  President Trauth responded that o</w:t>
      </w:r>
      <w:r w:rsidR="000C7294">
        <w:t>ne of the primary jobs of the president is to work with the system</w:t>
      </w:r>
      <w:r w:rsidR="00833E82">
        <w:t xml:space="preserve"> through the Chancellor</w:t>
      </w:r>
      <w:r w:rsidR="000C7294">
        <w:t xml:space="preserve">.  </w:t>
      </w:r>
      <w:r w:rsidR="00833E82">
        <w:t>For example, t</w:t>
      </w:r>
      <w:r w:rsidR="000C7294">
        <w:t xml:space="preserve">he university wanted to </w:t>
      </w:r>
      <w:r w:rsidR="00C47F99">
        <w:t xml:space="preserve">incentivize vaccinations.  </w:t>
      </w:r>
      <w:r w:rsidR="00AF1939">
        <w:t>Since there was some question regarding whether this was banned by an executive order, t</w:t>
      </w:r>
      <w:r w:rsidR="00A55DE7">
        <w:t xml:space="preserve">his required </w:t>
      </w:r>
      <w:r w:rsidR="008027BB">
        <w:t xml:space="preserve">a decision by the </w:t>
      </w:r>
      <w:r w:rsidR="00C47F99">
        <w:t>general coun</w:t>
      </w:r>
      <w:r w:rsidR="008027BB">
        <w:t>se</w:t>
      </w:r>
      <w:r w:rsidR="00C47F99">
        <w:t>l</w:t>
      </w:r>
      <w:r w:rsidR="008027BB">
        <w:t xml:space="preserve">, which reports to </w:t>
      </w:r>
      <w:r w:rsidR="00C47F99">
        <w:t>the system</w:t>
      </w:r>
      <w:r w:rsidR="002826C8">
        <w:t xml:space="preserve">.  The initial </w:t>
      </w:r>
      <w:r w:rsidR="008027BB">
        <w:t xml:space="preserve">decision by the counsel </w:t>
      </w:r>
      <w:r w:rsidR="002826C8">
        <w:t>was that we could not incentivize</w:t>
      </w:r>
      <w:r w:rsidR="00AF1939">
        <w:t>, but t</w:t>
      </w:r>
      <w:r w:rsidR="002826C8">
        <w:t>he university kept pushing</w:t>
      </w:r>
      <w:r w:rsidR="008A0FC3">
        <w:t xml:space="preserve"> for approval</w:t>
      </w:r>
      <w:r w:rsidR="002826C8">
        <w:t xml:space="preserve">.  </w:t>
      </w:r>
      <w:r w:rsidR="00781C87">
        <w:t xml:space="preserve">Ultimately, this </w:t>
      </w:r>
      <w:r w:rsidR="008A0FC3">
        <w:t xml:space="preserve">effort </w:t>
      </w:r>
      <w:r w:rsidR="00781C87">
        <w:t>was successful</w:t>
      </w:r>
      <w:r w:rsidR="008A0FC3">
        <w:t>, and an incentive was created</w:t>
      </w:r>
      <w:r w:rsidR="002826C8">
        <w:t>.</w:t>
      </w:r>
      <w:r w:rsidR="00617EA7">
        <w:t xml:space="preserve">  In most cases, we make progress, but </w:t>
      </w:r>
      <w:r w:rsidR="00781C87">
        <w:t>it may take more time than we would like</w:t>
      </w:r>
      <w:r w:rsidR="00617EA7">
        <w:t>.  Texas State typically leads the way</w:t>
      </w:r>
      <w:r w:rsidR="004279CC">
        <w:t xml:space="preserve"> in developing new policies and procedures in the system</w:t>
      </w:r>
      <w:r w:rsidR="00617EA7">
        <w:t>.</w:t>
      </w:r>
      <w:r w:rsidR="00654FA2">
        <w:t xml:space="preserve">  Tolling the tenure clock is another example</w:t>
      </w:r>
      <w:r w:rsidR="00AB57B5">
        <w:t>;</w:t>
      </w:r>
      <w:r w:rsidR="00FF6D2C">
        <w:t xml:space="preserve"> Texas State developed a policy</w:t>
      </w:r>
      <w:r w:rsidR="00AB57B5">
        <w:t xml:space="preserve"> on this, and t</w:t>
      </w:r>
      <w:r w:rsidR="002D278C">
        <w:t xml:space="preserve">he system </w:t>
      </w:r>
      <w:r w:rsidR="00AB57B5">
        <w:t xml:space="preserve">ultimately </w:t>
      </w:r>
      <w:r w:rsidR="002D278C">
        <w:t xml:space="preserve">applied </w:t>
      </w:r>
      <w:r w:rsidR="00AB57B5">
        <w:t xml:space="preserve">this </w:t>
      </w:r>
      <w:r w:rsidR="00637918">
        <w:t xml:space="preserve">to </w:t>
      </w:r>
      <w:proofErr w:type="gramStart"/>
      <w:r w:rsidR="00637918">
        <w:t xml:space="preserve">all </w:t>
      </w:r>
      <w:r w:rsidR="00AB57B5">
        <w:t>of</w:t>
      </w:r>
      <w:proofErr w:type="gramEnd"/>
      <w:r w:rsidR="00AB57B5">
        <w:t xml:space="preserve"> the </w:t>
      </w:r>
      <w:r w:rsidR="00637918">
        <w:t>universities</w:t>
      </w:r>
      <w:r w:rsidR="00AB57B5">
        <w:t xml:space="preserve"> in the system.</w:t>
      </w:r>
      <w:r w:rsidR="002D278C">
        <w:t xml:space="preserve"> </w:t>
      </w:r>
    </w:p>
    <w:p w14:paraId="17F01070" w14:textId="6FB3639D" w:rsidR="001237CD" w:rsidRDefault="001237CD" w:rsidP="00DB43E4"/>
    <w:p w14:paraId="50017073" w14:textId="54F45821" w:rsidR="001237CD" w:rsidRPr="00DB43E4" w:rsidRDefault="001237CD" w:rsidP="00DB43E4">
      <w:pPr>
        <w:rPr>
          <w:b/>
          <w:bCs/>
        </w:rPr>
      </w:pPr>
      <w:r w:rsidRPr="00DB43E4">
        <w:rPr>
          <w:b/>
          <w:bCs/>
        </w:rPr>
        <w:t>Tenure and Promotion Review</w:t>
      </w:r>
    </w:p>
    <w:p w14:paraId="3CE5DC7B" w14:textId="147E454D" w:rsidR="001237CD" w:rsidRDefault="00541AB4" w:rsidP="00477F4C">
      <w:r>
        <w:t>President Trauth emphasized that the</w:t>
      </w:r>
      <w:r w:rsidR="00C57E9D">
        <w:t xml:space="preserve"> candidates for tenure and promotion were exceptional, and n</w:t>
      </w:r>
      <w:r w:rsidR="001237CD">
        <w:t>o cases</w:t>
      </w:r>
      <w:r w:rsidR="00C57E9D">
        <w:t xml:space="preserve"> forwarded from the colleges</w:t>
      </w:r>
      <w:r w:rsidR="001237CD">
        <w:t xml:space="preserve"> were overturned</w:t>
      </w:r>
      <w:r w:rsidR="00C57E9D">
        <w:t xml:space="preserve">.  </w:t>
      </w:r>
      <w:r w:rsidR="009F56FB">
        <w:t xml:space="preserve">President Trauth and Dr. Bourgeois presented specific examples of </w:t>
      </w:r>
      <w:r w:rsidR="00C2285D">
        <w:t xml:space="preserve">exceptional </w:t>
      </w:r>
      <w:r w:rsidR="005C2BFA">
        <w:t>cases</w:t>
      </w:r>
      <w:r w:rsidR="00B93041">
        <w:t xml:space="preserve">.  External reviewers </w:t>
      </w:r>
      <w:r w:rsidR="00FF2D67">
        <w:t>are amazed at the level of productivity of our faculty despite our high workloads.</w:t>
      </w:r>
      <w:r w:rsidR="00CA55BD">
        <w:t xml:space="preserve"> </w:t>
      </w:r>
    </w:p>
    <w:p w14:paraId="411B3D55" w14:textId="77777777" w:rsidR="001F43C4" w:rsidRPr="001F43C4" w:rsidRDefault="001F43C4" w:rsidP="00DB43E4">
      <w:r w:rsidRPr="001F43C4">
        <w:rPr>
          <w:rStyle w:val="eop"/>
          <w:rFonts w:cstheme="minorHAnsi"/>
          <w:color w:val="000000"/>
        </w:rPr>
        <w:t> </w:t>
      </w:r>
    </w:p>
    <w:p w14:paraId="6719472C" w14:textId="4A1473CD" w:rsidR="001F43C4" w:rsidRPr="001F43C4" w:rsidRDefault="001F43C4" w:rsidP="00DB43E4">
      <w:r w:rsidRPr="001F43C4">
        <w:rPr>
          <w:rStyle w:val="normaltextrun"/>
          <w:rFonts w:cstheme="minorHAnsi"/>
          <w:b/>
          <w:bCs/>
        </w:rPr>
        <w:t>PAAG Debrief</w:t>
      </w:r>
      <w:r w:rsidRPr="001F43C4">
        <w:rPr>
          <w:rStyle w:val="eop"/>
          <w:rFonts w:cstheme="minorHAnsi"/>
          <w:b/>
          <w:bCs/>
        </w:rPr>
        <w:t> </w:t>
      </w:r>
    </w:p>
    <w:p w14:paraId="7060789D" w14:textId="56FC19B9" w:rsidR="00C61849" w:rsidRDefault="00C61849" w:rsidP="00DB43E4">
      <w:pPr>
        <w:rPr>
          <w:rStyle w:val="eop"/>
          <w:rFonts w:cstheme="minorHAnsi"/>
        </w:rPr>
      </w:pPr>
    </w:p>
    <w:p w14:paraId="2073B7DC" w14:textId="42556A4D" w:rsidR="00E7462C" w:rsidRPr="00477F4C" w:rsidRDefault="00E7462C" w:rsidP="71C32B36">
      <w:pPr>
        <w:pStyle w:val="ListParagraph"/>
        <w:numPr>
          <w:ilvl w:val="0"/>
          <w:numId w:val="3"/>
        </w:numPr>
        <w:rPr>
          <w:rStyle w:val="eop"/>
        </w:rPr>
      </w:pPr>
      <w:r w:rsidRPr="71C32B36">
        <w:rPr>
          <w:rStyle w:val="eop"/>
        </w:rPr>
        <w:t xml:space="preserve">The analysis of CUPA data presented </w:t>
      </w:r>
      <w:r w:rsidR="003142E1" w:rsidRPr="71C32B36">
        <w:rPr>
          <w:rStyle w:val="eop"/>
        </w:rPr>
        <w:t xml:space="preserve">by Dr. Bourgeois was presented in terms of the mean rather than the median.  This </w:t>
      </w:r>
      <w:r w:rsidR="003B7889" w:rsidRPr="71C32B36">
        <w:rPr>
          <w:rStyle w:val="eop"/>
        </w:rPr>
        <w:t xml:space="preserve">averages in a few very highly paid faculty members that make the salary data appear better than if median </w:t>
      </w:r>
      <w:r w:rsidR="00B90664" w:rsidRPr="71C32B36">
        <w:rPr>
          <w:rStyle w:val="eop"/>
        </w:rPr>
        <w:t>values are used, as the senate has</w:t>
      </w:r>
      <w:r w:rsidR="60F3A574" w:rsidRPr="71C32B36">
        <w:rPr>
          <w:rStyle w:val="eop"/>
        </w:rPr>
        <w:t xml:space="preserve"> </w:t>
      </w:r>
      <w:r w:rsidR="00EF153F">
        <w:rPr>
          <w:rStyle w:val="eop"/>
        </w:rPr>
        <w:t>reviewed</w:t>
      </w:r>
      <w:r w:rsidR="00EF153F" w:rsidRPr="71C32B36">
        <w:rPr>
          <w:rStyle w:val="eop"/>
        </w:rPr>
        <w:t xml:space="preserve"> </w:t>
      </w:r>
      <w:r w:rsidR="00B90664" w:rsidRPr="71C32B36">
        <w:rPr>
          <w:rStyle w:val="eop"/>
        </w:rPr>
        <w:t>previously.</w:t>
      </w:r>
    </w:p>
    <w:p w14:paraId="34B1A13A" w14:textId="77777777" w:rsidR="00E7462C" w:rsidRDefault="00E7462C" w:rsidP="00DB43E4">
      <w:pPr>
        <w:rPr>
          <w:rStyle w:val="eop"/>
          <w:rFonts w:cstheme="minorHAnsi"/>
        </w:rPr>
      </w:pPr>
    </w:p>
    <w:p w14:paraId="5FA6F79C" w14:textId="0285AA94" w:rsidR="00FC09C6" w:rsidRPr="00477F4C" w:rsidRDefault="00E40564" w:rsidP="003D13E5">
      <w:pPr>
        <w:pStyle w:val="ListParagraph"/>
        <w:numPr>
          <w:ilvl w:val="0"/>
          <w:numId w:val="3"/>
        </w:numPr>
        <w:rPr>
          <w:rStyle w:val="eop"/>
          <w:rFonts w:cstheme="minorHAnsi"/>
        </w:rPr>
      </w:pPr>
      <w:r w:rsidRPr="00477F4C">
        <w:rPr>
          <w:rStyle w:val="eop"/>
          <w:rFonts w:cstheme="minorHAnsi"/>
        </w:rPr>
        <w:t xml:space="preserve">There is a false dichotomy presented regarding equity raises.  Funds must be devoted to this, but this does not necessarily need to be </w:t>
      </w:r>
      <w:r w:rsidR="00D90718" w:rsidRPr="00477F4C">
        <w:rPr>
          <w:rStyle w:val="eop"/>
          <w:rFonts w:cstheme="minorHAnsi"/>
        </w:rPr>
        <w:t xml:space="preserve">pulled directly away from merit adjustments.  If faculty salaries are a priority, funds may be funneled to initiatives </w:t>
      </w:r>
      <w:r w:rsidR="00A52CAA" w:rsidRPr="00477F4C">
        <w:rPr>
          <w:rStyle w:val="eop"/>
          <w:rFonts w:cstheme="minorHAnsi"/>
        </w:rPr>
        <w:t xml:space="preserve">as needed.  Senate is </w:t>
      </w:r>
      <w:r w:rsidR="00FC09C6" w:rsidRPr="00477F4C">
        <w:rPr>
          <w:rStyle w:val="eop"/>
          <w:rFonts w:cstheme="minorHAnsi"/>
        </w:rPr>
        <w:t>considering</w:t>
      </w:r>
      <w:r w:rsidR="00A52CAA" w:rsidRPr="00477F4C">
        <w:rPr>
          <w:rStyle w:val="eop"/>
          <w:rFonts w:cstheme="minorHAnsi"/>
        </w:rPr>
        <w:t xml:space="preserve"> creative ways to </w:t>
      </w:r>
      <w:r w:rsidR="00727D49" w:rsidRPr="00477F4C">
        <w:rPr>
          <w:rStyle w:val="eop"/>
          <w:rFonts w:cstheme="minorHAnsi"/>
        </w:rPr>
        <w:t>address this beyond the merit pool.</w:t>
      </w:r>
      <w:r w:rsidR="00222930" w:rsidRPr="00477F4C">
        <w:rPr>
          <w:rStyle w:val="eop"/>
          <w:rFonts w:cstheme="minorHAnsi"/>
        </w:rPr>
        <w:t xml:space="preserve">  </w:t>
      </w:r>
    </w:p>
    <w:p w14:paraId="009A65C8" w14:textId="77777777" w:rsidR="00FC09C6" w:rsidRDefault="00FC09C6" w:rsidP="00DB43E4">
      <w:pPr>
        <w:rPr>
          <w:rStyle w:val="eop"/>
          <w:rFonts w:cstheme="minorHAnsi"/>
        </w:rPr>
      </w:pPr>
    </w:p>
    <w:p w14:paraId="0B833EA2" w14:textId="34D39F1B" w:rsidR="00E40564" w:rsidRPr="00477F4C" w:rsidRDefault="00222930" w:rsidP="003D13E5">
      <w:pPr>
        <w:pStyle w:val="ListParagraph"/>
        <w:numPr>
          <w:ilvl w:val="0"/>
          <w:numId w:val="3"/>
        </w:numPr>
        <w:rPr>
          <w:rStyle w:val="eop"/>
          <w:rFonts w:cstheme="minorHAnsi"/>
        </w:rPr>
      </w:pPr>
      <w:r w:rsidRPr="00477F4C">
        <w:rPr>
          <w:rStyle w:val="eop"/>
          <w:rFonts w:cstheme="minorHAnsi"/>
        </w:rPr>
        <w:t xml:space="preserve">Multiple senators were unsatisfied by the response to our question about addressing cost of living increases.  The </w:t>
      </w:r>
      <w:proofErr w:type="gramStart"/>
      <w:r w:rsidRPr="00477F4C">
        <w:rPr>
          <w:rStyle w:val="eop"/>
          <w:rFonts w:cstheme="minorHAnsi"/>
        </w:rPr>
        <w:t>cost of living</w:t>
      </w:r>
      <w:proofErr w:type="gramEnd"/>
      <w:r w:rsidRPr="00477F4C">
        <w:rPr>
          <w:rStyle w:val="eop"/>
          <w:rFonts w:cstheme="minorHAnsi"/>
        </w:rPr>
        <w:t xml:space="preserve"> increase is far higher than 3% per year.  </w:t>
      </w:r>
      <w:r w:rsidR="00FC09C6" w:rsidRPr="00477F4C">
        <w:rPr>
          <w:rStyle w:val="eop"/>
          <w:rFonts w:cstheme="minorHAnsi"/>
        </w:rPr>
        <w:t xml:space="preserve">The question was raised about whether CUPA salaries mirror increasing costs of living over time.  </w:t>
      </w:r>
      <w:r w:rsidRPr="00477F4C">
        <w:rPr>
          <w:rStyle w:val="eop"/>
          <w:rFonts w:cstheme="minorHAnsi"/>
        </w:rPr>
        <w:t xml:space="preserve">Tying even minimal salary raises to increased enrollment is not sustainable.  </w:t>
      </w:r>
    </w:p>
    <w:p w14:paraId="270E15D3" w14:textId="77777777" w:rsidR="00E40564" w:rsidRDefault="00E40564" w:rsidP="00DB43E4">
      <w:pPr>
        <w:rPr>
          <w:rStyle w:val="eop"/>
          <w:rFonts w:cstheme="minorHAnsi"/>
        </w:rPr>
      </w:pPr>
    </w:p>
    <w:p w14:paraId="4FCC6117" w14:textId="2D9FF947" w:rsidR="001F43C4" w:rsidRPr="00477F4C" w:rsidRDefault="00EC56BD" w:rsidP="003D13E5">
      <w:pPr>
        <w:pStyle w:val="ListParagraph"/>
        <w:numPr>
          <w:ilvl w:val="0"/>
          <w:numId w:val="3"/>
        </w:numPr>
        <w:rPr>
          <w:rStyle w:val="eop"/>
          <w:rFonts w:cstheme="minorHAnsi"/>
        </w:rPr>
      </w:pPr>
      <w:r w:rsidRPr="00477F4C">
        <w:rPr>
          <w:rStyle w:val="eop"/>
          <w:rFonts w:cstheme="minorHAnsi"/>
        </w:rPr>
        <w:t xml:space="preserve">A senator reminded the group that </w:t>
      </w:r>
      <w:r w:rsidR="00B72817" w:rsidRPr="00477F4C">
        <w:rPr>
          <w:rStyle w:val="eop"/>
          <w:rFonts w:cstheme="minorHAnsi"/>
        </w:rPr>
        <w:t xml:space="preserve">required </w:t>
      </w:r>
      <w:r w:rsidR="00114234" w:rsidRPr="00477F4C">
        <w:rPr>
          <w:rStyle w:val="eop"/>
          <w:rFonts w:cstheme="minorHAnsi"/>
        </w:rPr>
        <w:t xml:space="preserve">DEIA trainings should not only be based on an online option.  </w:t>
      </w:r>
      <w:r w:rsidR="00897B9F" w:rsidRPr="00477F4C">
        <w:rPr>
          <w:rStyle w:val="eop"/>
          <w:rFonts w:cstheme="minorHAnsi"/>
        </w:rPr>
        <w:t>It is important to continue to promote the other recommendations by the task force</w:t>
      </w:r>
      <w:r w:rsidR="00D566C1" w:rsidRPr="00477F4C">
        <w:rPr>
          <w:rStyle w:val="eop"/>
          <w:rFonts w:cstheme="minorHAnsi"/>
        </w:rPr>
        <w:t xml:space="preserve">, including </w:t>
      </w:r>
      <w:r w:rsidR="00FD1075" w:rsidRPr="00477F4C">
        <w:rPr>
          <w:rStyle w:val="eop"/>
          <w:rFonts w:cstheme="minorHAnsi"/>
        </w:rPr>
        <w:t>department level discussions.</w:t>
      </w:r>
    </w:p>
    <w:p w14:paraId="6D2AF15B" w14:textId="610A1530" w:rsidR="00345D72" w:rsidRDefault="00345D72" w:rsidP="00DB43E4">
      <w:pPr>
        <w:rPr>
          <w:rStyle w:val="eop"/>
          <w:rFonts w:cstheme="minorHAnsi"/>
        </w:rPr>
      </w:pPr>
    </w:p>
    <w:p w14:paraId="5ADBAF92" w14:textId="5EFA021B" w:rsidR="00345D72" w:rsidRPr="00477F4C" w:rsidRDefault="00345D72" w:rsidP="003D13E5">
      <w:pPr>
        <w:pStyle w:val="ListParagraph"/>
        <w:numPr>
          <w:ilvl w:val="0"/>
          <w:numId w:val="3"/>
        </w:numPr>
        <w:rPr>
          <w:rStyle w:val="eop"/>
          <w:rFonts w:cstheme="minorHAnsi"/>
        </w:rPr>
      </w:pPr>
      <w:r w:rsidRPr="00477F4C">
        <w:rPr>
          <w:rStyle w:val="eop"/>
          <w:rFonts w:cstheme="minorHAnsi"/>
        </w:rPr>
        <w:t xml:space="preserve">There remain concerns about </w:t>
      </w:r>
      <w:r w:rsidR="008A3523" w:rsidRPr="00477F4C">
        <w:rPr>
          <w:rStyle w:val="eop"/>
          <w:rFonts w:cstheme="minorHAnsi"/>
        </w:rPr>
        <w:t xml:space="preserve">the approval of expensive new programs outside of the College of Science and Engineering.  </w:t>
      </w:r>
    </w:p>
    <w:p w14:paraId="23EABE77" w14:textId="2406F976" w:rsidR="00897B9F" w:rsidRDefault="00897B9F" w:rsidP="00DB43E4">
      <w:pPr>
        <w:rPr>
          <w:rStyle w:val="eop"/>
          <w:rFonts w:cstheme="minorHAnsi"/>
        </w:rPr>
      </w:pPr>
    </w:p>
    <w:p w14:paraId="6EB57DBA" w14:textId="2E059C36" w:rsidR="001F43C4" w:rsidRPr="001F43C4" w:rsidRDefault="001F43C4" w:rsidP="00DB43E4">
      <w:r w:rsidRPr="001F43C4">
        <w:rPr>
          <w:rStyle w:val="normaltextrun"/>
          <w:rFonts w:cstheme="minorHAnsi"/>
          <w:b/>
          <w:bCs/>
        </w:rPr>
        <w:t>Mandatory COVID vaccinations</w:t>
      </w:r>
      <w:r w:rsidRPr="001F43C4">
        <w:rPr>
          <w:rStyle w:val="eop"/>
          <w:rFonts w:cstheme="minorHAnsi"/>
          <w:b/>
          <w:bCs/>
        </w:rPr>
        <w:t> </w:t>
      </w:r>
    </w:p>
    <w:p w14:paraId="51E7810C" w14:textId="0C2D64ED" w:rsidR="008976A0" w:rsidRPr="003D13E5" w:rsidRDefault="008976A0" w:rsidP="003D13E5">
      <w:pPr>
        <w:rPr>
          <w:rStyle w:val="normaltextrun"/>
          <w:rFonts w:cstheme="minorHAnsi"/>
        </w:rPr>
      </w:pPr>
      <w:r w:rsidRPr="003D13E5">
        <w:rPr>
          <w:rStyle w:val="normaltextrun"/>
          <w:rFonts w:cstheme="minorHAnsi"/>
        </w:rPr>
        <w:t xml:space="preserve">This item has been tabled, and </w:t>
      </w:r>
      <w:r w:rsidR="00FD1075" w:rsidRPr="003D13E5">
        <w:rPr>
          <w:rStyle w:val="normaltextrun"/>
          <w:rFonts w:cstheme="minorHAnsi"/>
        </w:rPr>
        <w:t xml:space="preserve">it </w:t>
      </w:r>
      <w:r w:rsidRPr="003D13E5">
        <w:rPr>
          <w:rStyle w:val="normaltextrun"/>
          <w:rFonts w:cstheme="minorHAnsi"/>
        </w:rPr>
        <w:t xml:space="preserve">will be returned to the agenda </w:t>
      </w:r>
      <w:r w:rsidR="00C36619" w:rsidRPr="003D13E5">
        <w:rPr>
          <w:rStyle w:val="normaltextrun"/>
          <w:rFonts w:cstheme="minorHAnsi"/>
        </w:rPr>
        <w:t>on October 16</w:t>
      </w:r>
      <w:r w:rsidR="00FD1075" w:rsidRPr="003D13E5">
        <w:rPr>
          <w:rStyle w:val="normaltextrun"/>
          <w:rFonts w:cstheme="minorHAnsi"/>
        </w:rPr>
        <w:t>.</w:t>
      </w:r>
    </w:p>
    <w:p w14:paraId="163C93FC" w14:textId="77777777" w:rsidR="008976A0" w:rsidRDefault="008976A0" w:rsidP="00DB43E4">
      <w:pPr>
        <w:rPr>
          <w:rStyle w:val="normaltextrun"/>
          <w:rFonts w:cstheme="minorHAnsi"/>
        </w:rPr>
      </w:pPr>
    </w:p>
    <w:p w14:paraId="6781D35A" w14:textId="43AB0A23" w:rsidR="00C36619" w:rsidRPr="004363D1" w:rsidRDefault="00C36619" w:rsidP="00DB43E4">
      <w:pPr>
        <w:rPr>
          <w:rStyle w:val="normaltextrun"/>
          <w:rFonts w:cstheme="minorHAnsi"/>
          <w:b/>
          <w:bCs/>
        </w:rPr>
      </w:pPr>
      <w:r w:rsidRPr="004363D1">
        <w:rPr>
          <w:rStyle w:val="normaltextrun"/>
          <w:rFonts w:cstheme="minorHAnsi"/>
          <w:b/>
          <w:bCs/>
        </w:rPr>
        <w:t>Faculty Development Leave</w:t>
      </w:r>
    </w:p>
    <w:p w14:paraId="13B0AF2B" w14:textId="7EF63EE9" w:rsidR="00C36619" w:rsidRDefault="00C36619" w:rsidP="00DB43E4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A canvas site has been </w:t>
      </w:r>
      <w:r w:rsidR="00A107D9">
        <w:rPr>
          <w:rStyle w:val="normaltextrun"/>
          <w:rFonts w:cstheme="minorHAnsi"/>
        </w:rPr>
        <w:t xml:space="preserve">created, and </w:t>
      </w:r>
      <w:r w:rsidR="004363D1">
        <w:rPr>
          <w:rStyle w:val="normaltextrun"/>
          <w:rFonts w:cstheme="minorHAnsi"/>
        </w:rPr>
        <w:t xml:space="preserve">it </w:t>
      </w:r>
      <w:r w:rsidR="00A107D9">
        <w:rPr>
          <w:rStyle w:val="normaltextrun"/>
          <w:rFonts w:cstheme="minorHAnsi"/>
        </w:rPr>
        <w:t xml:space="preserve">is </w:t>
      </w:r>
      <w:r w:rsidR="00420340">
        <w:rPr>
          <w:rStyle w:val="normaltextrun"/>
          <w:rFonts w:cstheme="minorHAnsi"/>
        </w:rPr>
        <w:t xml:space="preserve">being </w:t>
      </w:r>
      <w:r w:rsidR="00A107D9">
        <w:rPr>
          <w:rStyle w:val="normaltextrun"/>
          <w:rFonts w:cstheme="minorHAnsi"/>
        </w:rPr>
        <w:t xml:space="preserve">populated with applications.  Senators will divide into two groups to review </w:t>
      </w:r>
      <w:r w:rsidR="005143C8">
        <w:rPr>
          <w:rStyle w:val="normaltextrun"/>
          <w:rFonts w:cstheme="minorHAnsi"/>
        </w:rPr>
        <w:t xml:space="preserve">a total of 59 </w:t>
      </w:r>
      <w:r w:rsidR="00A107D9">
        <w:rPr>
          <w:rStyle w:val="normaltextrun"/>
          <w:rFonts w:cstheme="minorHAnsi"/>
        </w:rPr>
        <w:t>applicants within their groups:</w:t>
      </w:r>
    </w:p>
    <w:p w14:paraId="15177CB3" w14:textId="6E99EF16" w:rsidR="00A107D9" w:rsidRDefault="00A107D9" w:rsidP="004363D1">
      <w:pPr>
        <w:ind w:firstLine="720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Group A:</w:t>
      </w:r>
      <w:r w:rsidR="004044B1">
        <w:rPr>
          <w:rStyle w:val="normaltextrun"/>
          <w:rFonts w:cstheme="minorHAnsi"/>
        </w:rPr>
        <w:t xml:space="preserve"> Applied Arts, Education, and Liberal Arts</w:t>
      </w:r>
    </w:p>
    <w:p w14:paraId="3DC2EE9E" w14:textId="2ADB2112" w:rsidR="00A107D9" w:rsidRPr="00C36619" w:rsidRDefault="00A107D9" w:rsidP="5640FDA3">
      <w:pPr>
        <w:ind w:firstLine="720"/>
        <w:rPr>
          <w:rStyle w:val="normaltextrun"/>
        </w:rPr>
      </w:pPr>
      <w:r w:rsidRPr="5640FDA3">
        <w:rPr>
          <w:rStyle w:val="normaltextrun"/>
        </w:rPr>
        <w:t>Group B:</w:t>
      </w:r>
      <w:r w:rsidR="004044B1" w:rsidRPr="5640FDA3">
        <w:rPr>
          <w:rStyle w:val="normaltextrun"/>
        </w:rPr>
        <w:t xml:space="preserve"> </w:t>
      </w:r>
      <w:r w:rsidR="16FCA80E" w:rsidRPr="5640FDA3">
        <w:rPr>
          <w:rStyle w:val="normaltextrun"/>
        </w:rPr>
        <w:t xml:space="preserve">Business, </w:t>
      </w:r>
      <w:r w:rsidR="004044B1" w:rsidRPr="5640FDA3">
        <w:rPr>
          <w:rStyle w:val="normaltextrun"/>
        </w:rPr>
        <w:t>Fine Arts</w:t>
      </w:r>
      <w:r w:rsidR="6184A667" w:rsidRPr="5640FDA3">
        <w:rPr>
          <w:rStyle w:val="normaltextrun"/>
        </w:rPr>
        <w:t xml:space="preserve"> &amp;</w:t>
      </w:r>
      <w:r w:rsidR="004044B1" w:rsidRPr="5640FDA3">
        <w:rPr>
          <w:rStyle w:val="normaltextrun"/>
        </w:rPr>
        <w:t>Communication, and Science and Engineering</w:t>
      </w:r>
    </w:p>
    <w:p w14:paraId="6D077E82" w14:textId="77777777" w:rsidR="005143C8" w:rsidRDefault="005143C8" w:rsidP="00DB43E4">
      <w:pPr>
        <w:rPr>
          <w:rStyle w:val="normaltextrun"/>
          <w:rFonts w:cstheme="minorHAnsi"/>
        </w:rPr>
      </w:pPr>
    </w:p>
    <w:p w14:paraId="684315E5" w14:textId="088B8F5C" w:rsidR="00C36619" w:rsidRPr="001723CA" w:rsidRDefault="00191F53" w:rsidP="00DB43E4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Faculty </w:t>
      </w:r>
      <w:r w:rsidR="001723CA" w:rsidRPr="001723CA">
        <w:rPr>
          <w:rStyle w:val="normaltextrun"/>
          <w:rFonts w:cstheme="minorHAnsi"/>
        </w:rPr>
        <w:t>Senate will review FDL applications on November 10.</w:t>
      </w:r>
    </w:p>
    <w:p w14:paraId="5522E9D8" w14:textId="3771D8F6" w:rsidR="00A107D9" w:rsidRDefault="00A107D9" w:rsidP="00DB43E4">
      <w:pPr>
        <w:rPr>
          <w:rStyle w:val="normaltextrun"/>
          <w:rFonts w:cstheme="minorHAnsi"/>
          <w:b/>
          <w:bCs/>
        </w:rPr>
      </w:pPr>
    </w:p>
    <w:p w14:paraId="7B3885EB" w14:textId="7A9604CD" w:rsidR="001F43C4" w:rsidRPr="001F43C4" w:rsidRDefault="001F43C4" w:rsidP="00DB43E4">
      <w:r w:rsidRPr="001F43C4">
        <w:rPr>
          <w:rStyle w:val="normaltextrun"/>
          <w:rFonts w:cstheme="minorHAnsi"/>
          <w:b/>
          <w:bCs/>
        </w:rPr>
        <w:t>Bulletin Items</w:t>
      </w:r>
      <w:r w:rsidRPr="001F43C4">
        <w:rPr>
          <w:rStyle w:val="eop"/>
          <w:rFonts w:cstheme="minorHAnsi"/>
          <w:b/>
          <w:bCs/>
        </w:rPr>
        <w:t> </w:t>
      </w:r>
    </w:p>
    <w:p w14:paraId="79ADF0C1" w14:textId="78D012F6" w:rsidR="009337BA" w:rsidRDefault="00D56434" w:rsidP="00DB43E4">
      <w:p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The bulletin will highlight the </w:t>
      </w:r>
      <w:r w:rsidR="002018FD">
        <w:rPr>
          <w:rStyle w:val="eop"/>
          <w:rFonts w:cstheme="minorHAnsi"/>
        </w:rPr>
        <w:t>following:</w:t>
      </w:r>
    </w:p>
    <w:p w14:paraId="1AD7F50F" w14:textId="771DBDAE" w:rsidR="009337BA" w:rsidRDefault="00D56434" w:rsidP="003D13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 w:rsidRPr="009337BA">
        <w:rPr>
          <w:rStyle w:val="eop"/>
          <w:rFonts w:cstheme="minorHAnsi"/>
        </w:rPr>
        <w:t>R</w:t>
      </w:r>
      <w:r w:rsidR="00353568" w:rsidRPr="009337BA">
        <w:rPr>
          <w:rStyle w:val="eop"/>
          <w:rFonts w:cstheme="minorHAnsi"/>
        </w:rPr>
        <w:t xml:space="preserve">esearch </w:t>
      </w:r>
      <w:r w:rsidRPr="009337BA">
        <w:rPr>
          <w:rStyle w:val="eop"/>
          <w:rFonts w:cstheme="minorHAnsi"/>
        </w:rPr>
        <w:t>E</w:t>
      </w:r>
      <w:r w:rsidR="00353568" w:rsidRPr="009337BA">
        <w:rPr>
          <w:rStyle w:val="eop"/>
          <w:rFonts w:cstheme="minorHAnsi"/>
        </w:rPr>
        <w:t xml:space="preserve">nhancement </w:t>
      </w:r>
      <w:r w:rsidRPr="009337BA">
        <w:rPr>
          <w:rStyle w:val="eop"/>
          <w:rFonts w:cstheme="minorHAnsi"/>
        </w:rPr>
        <w:t>P</w:t>
      </w:r>
      <w:r w:rsidR="00353568" w:rsidRPr="009337BA">
        <w:rPr>
          <w:rStyle w:val="eop"/>
          <w:rFonts w:cstheme="minorHAnsi"/>
        </w:rPr>
        <w:t xml:space="preserve">rogram </w:t>
      </w:r>
      <w:r w:rsidRPr="009337BA">
        <w:rPr>
          <w:rStyle w:val="eop"/>
          <w:rFonts w:cstheme="minorHAnsi"/>
        </w:rPr>
        <w:t>deadline</w:t>
      </w:r>
      <w:r w:rsidR="00774589" w:rsidRPr="009337BA">
        <w:rPr>
          <w:rStyle w:val="eop"/>
          <w:rFonts w:cstheme="minorHAnsi"/>
        </w:rPr>
        <w:t xml:space="preserve"> </w:t>
      </w:r>
      <w:r w:rsidR="002018FD">
        <w:rPr>
          <w:rStyle w:val="eop"/>
          <w:rFonts w:cstheme="minorHAnsi"/>
        </w:rPr>
        <w:t xml:space="preserve">is </w:t>
      </w:r>
      <w:r w:rsidR="008F3338">
        <w:rPr>
          <w:rStyle w:val="eop"/>
          <w:rFonts w:cstheme="minorHAnsi"/>
        </w:rPr>
        <w:t xml:space="preserve">Tuesday, </w:t>
      </w:r>
      <w:r w:rsidR="00774589" w:rsidRPr="009337BA">
        <w:rPr>
          <w:rStyle w:val="eop"/>
          <w:rFonts w:cstheme="minorHAnsi"/>
        </w:rPr>
        <w:t>October 13</w:t>
      </w:r>
    </w:p>
    <w:p w14:paraId="34616C30" w14:textId="42728F89" w:rsidR="009337BA" w:rsidRDefault="00774589" w:rsidP="003D13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 w:rsidRPr="009337BA">
        <w:rPr>
          <w:rStyle w:val="eop"/>
          <w:rFonts w:cstheme="minorHAnsi"/>
        </w:rPr>
        <w:t xml:space="preserve">Upcoming events </w:t>
      </w:r>
      <w:r w:rsidR="002018FD">
        <w:rPr>
          <w:rStyle w:val="eop"/>
          <w:rFonts w:cstheme="minorHAnsi"/>
        </w:rPr>
        <w:t xml:space="preserve">are advertised </w:t>
      </w:r>
      <w:r w:rsidR="005A2262" w:rsidRPr="009337BA">
        <w:rPr>
          <w:rStyle w:val="eop"/>
          <w:rFonts w:cstheme="minorHAnsi"/>
        </w:rPr>
        <w:t>through the</w:t>
      </w:r>
      <w:r w:rsidR="00D56434" w:rsidRPr="009337BA">
        <w:rPr>
          <w:rStyle w:val="eop"/>
          <w:rFonts w:cstheme="minorHAnsi"/>
        </w:rPr>
        <w:t xml:space="preserve"> </w:t>
      </w:r>
      <w:r w:rsidR="004F5480">
        <w:rPr>
          <w:rStyle w:val="eop"/>
          <w:rFonts w:cstheme="minorHAnsi"/>
        </w:rPr>
        <w:t>‘</w:t>
      </w:r>
      <w:r w:rsidR="00904812" w:rsidRPr="009337BA">
        <w:rPr>
          <w:rStyle w:val="eop"/>
          <w:rFonts w:cstheme="minorHAnsi"/>
        </w:rPr>
        <w:t>Academic Freedom Corner’</w:t>
      </w:r>
    </w:p>
    <w:p w14:paraId="3AD259A1" w14:textId="4767F1F6" w:rsidR="009337BA" w:rsidRDefault="002018FD" w:rsidP="003D13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The </w:t>
      </w:r>
      <w:r w:rsidR="00D56434" w:rsidRPr="009337BA">
        <w:rPr>
          <w:rStyle w:val="eop"/>
          <w:rFonts w:cstheme="minorHAnsi"/>
        </w:rPr>
        <w:t>Academic Computing Committee</w:t>
      </w:r>
      <w:r w:rsidR="00373855">
        <w:rPr>
          <w:rStyle w:val="eop"/>
          <w:rFonts w:cstheme="minorHAnsi"/>
        </w:rPr>
        <w:t xml:space="preserve"> is calling for proposals</w:t>
      </w:r>
      <w:r w:rsidR="00E879BE">
        <w:rPr>
          <w:rStyle w:val="eop"/>
          <w:rFonts w:cstheme="minorHAnsi"/>
        </w:rPr>
        <w:t xml:space="preserve"> this week</w:t>
      </w:r>
    </w:p>
    <w:p w14:paraId="7748B389" w14:textId="1FC081F4" w:rsidR="009337BA" w:rsidRDefault="00373855" w:rsidP="003D13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</w:t>
      </w:r>
      <w:r w:rsidR="00774589" w:rsidRPr="009337BA">
        <w:rPr>
          <w:rStyle w:val="eop"/>
          <w:rFonts w:cstheme="minorHAnsi"/>
        </w:rPr>
        <w:t>he fall meeting for the full senate on October 20</w:t>
      </w:r>
    </w:p>
    <w:p w14:paraId="04FB6E80" w14:textId="1CFAB8DC" w:rsidR="00191F53" w:rsidRPr="009337BA" w:rsidRDefault="008C75F5" w:rsidP="003D13E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</w:t>
      </w:r>
      <w:r w:rsidR="005A2262" w:rsidRPr="009337BA">
        <w:rPr>
          <w:rStyle w:val="eop"/>
          <w:rFonts w:cstheme="minorHAnsi"/>
        </w:rPr>
        <w:t xml:space="preserve">he </w:t>
      </w:r>
      <w:r w:rsidR="00E879BE">
        <w:rPr>
          <w:rStyle w:val="eop"/>
          <w:rFonts w:cstheme="minorHAnsi"/>
        </w:rPr>
        <w:t>U</w:t>
      </w:r>
      <w:r w:rsidR="005A2262" w:rsidRPr="009337BA">
        <w:rPr>
          <w:rStyle w:val="eop"/>
          <w:rFonts w:cstheme="minorHAnsi"/>
        </w:rPr>
        <w:t xml:space="preserve">niversity </w:t>
      </w:r>
      <w:r w:rsidR="00E879BE">
        <w:rPr>
          <w:rStyle w:val="eop"/>
          <w:rFonts w:cstheme="minorHAnsi"/>
        </w:rPr>
        <w:t>L</w:t>
      </w:r>
      <w:r w:rsidR="005A2262" w:rsidRPr="009337BA">
        <w:rPr>
          <w:rStyle w:val="eop"/>
          <w:rFonts w:cstheme="minorHAnsi"/>
        </w:rPr>
        <w:t xml:space="preserve">ecturer’s </w:t>
      </w:r>
      <w:r w:rsidR="00E879BE">
        <w:rPr>
          <w:rStyle w:val="eop"/>
          <w:rFonts w:cstheme="minorHAnsi"/>
        </w:rPr>
        <w:t>S</w:t>
      </w:r>
      <w:r w:rsidR="005A2262" w:rsidRPr="009337BA">
        <w:rPr>
          <w:rStyle w:val="eop"/>
          <w:rFonts w:cstheme="minorHAnsi"/>
        </w:rPr>
        <w:t xml:space="preserve">eries </w:t>
      </w:r>
      <w:r w:rsidR="00895011">
        <w:rPr>
          <w:rStyle w:val="eop"/>
          <w:rFonts w:cstheme="minorHAnsi"/>
        </w:rPr>
        <w:t xml:space="preserve">spring proposals </w:t>
      </w:r>
      <w:r w:rsidR="00E879BE">
        <w:rPr>
          <w:rStyle w:val="eop"/>
          <w:rFonts w:cstheme="minorHAnsi"/>
        </w:rPr>
        <w:t xml:space="preserve">are due </w:t>
      </w:r>
      <w:r w:rsidR="00895011">
        <w:rPr>
          <w:rStyle w:val="eop"/>
          <w:rFonts w:cstheme="minorHAnsi"/>
        </w:rPr>
        <w:t>October 29</w:t>
      </w:r>
    </w:p>
    <w:p w14:paraId="427679BD" w14:textId="14B1D314" w:rsidR="001F43C4" w:rsidRPr="001F43C4" w:rsidRDefault="001F43C4" w:rsidP="00DB43E4">
      <w:r w:rsidRPr="001F43C4">
        <w:rPr>
          <w:rStyle w:val="eop"/>
          <w:rFonts w:cstheme="minorHAnsi"/>
        </w:rPr>
        <w:t> </w:t>
      </w:r>
    </w:p>
    <w:p w14:paraId="56291AC1" w14:textId="20AB244B" w:rsidR="001F43C4" w:rsidRPr="001F43C4" w:rsidRDefault="001F43C4" w:rsidP="00DB43E4">
      <w:r w:rsidRPr="001F43C4">
        <w:rPr>
          <w:rStyle w:val="normaltextrun"/>
          <w:rFonts w:cstheme="minorHAnsi"/>
          <w:b/>
          <w:bCs/>
        </w:rPr>
        <w:t>Policy Reviews</w:t>
      </w:r>
      <w:r w:rsidRPr="001F43C4">
        <w:rPr>
          <w:rStyle w:val="eop"/>
          <w:rFonts w:cstheme="minorHAnsi"/>
          <w:b/>
          <w:bCs/>
        </w:rPr>
        <w:t> </w:t>
      </w:r>
    </w:p>
    <w:p w14:paraId="01F448D1" w14:textId="6C7B1481" w:rsidR="001F43C4" w:rsidRPr="001F43C4" w:rsidRDefault="006E2CB5" w:rsidP="00DB43E4">
      <w:hyperlink r:id="rId8" w:tgtFrame="_blank" w:history="1">
        <w:r w:rsidR="001F43C4" w:rsidRPr="001F43C4">
          <w:rPr>
            <w:rStyle w:val="normaltextrun"/>
            <w:rFonts w:cstheme="minorHAnsi"/>
            <w:color w:val="0000FF"/>
            <w:u w:val="single"/>
          </w:rPr>
          <w:t>UPPS 04.04.40</w:t>
        </w:r>
      </w:hyperlink>
      <w:r w:rsidR="001F43C4" w:rsidRPr="001F43C4">
        <w:rPr>
          <w:rStyle w:val="normaltextrun"/>
          <w:rFonts w:cstheme="minorHAnsi"/>
        </w:rPr>
        <w:t> Disciplining and Terminating Staff Employees: pen and ink changes, due October 8</w:t>
      </w:r>
      <w:r w:rsidR="001F43C4" w:rsidRPr="001F43C4">
        <w:rPr>
          <w:rStyle w:val="eop"/>
          <w:rFonts w:cstheme="minorHAnsi"/>
        </w:rPr>
        <w:t> </w:t>
      </w:r>
      <w:r w:rsidR="00B752FC">
        <w:rPr>
          <w:rStyle w:val="eop"/>
          <w:rFonts w:cstheme="minorHAnsi"/>
        </w:rPr>
        <w:t xml:space="preserve">(Senator </w:t>
      </w:r>
      <w:r w:rsidR="00A25BBD">
        <w:rPr>
          <w:rStyle w:val="eop"/>
          <w:rFonts w:cstheme="minorHAnsi"/>
        </w:rPr>
        <w:t>Dedek)</w:t>
      </w:r>
    </w:p>
    <w:p w14:paraId="139A2038" w14:textId="1082195E" w:rsidR="001F43C4" w:rsidRPr="001F43C4" w:rsidRDefault="006E2CB5" w:rsidP="00DB43E4">
      <w:hyperlink r:id="rId9" w:tgtFrame="_blank" w:history="1">
        <w:r w:rsidR="001F43C4" w:rsidRPr="001F43C4">
          <w:rPr>
            <w:rStyle w:val="normaltextrun"/>
            <w:rFonts w:cstheme="minorHAnsi"/>
            <w:color w:val="0000FF"/>
            <w:u w:val="single"/>
          </w:rPr>
          <w:t>UPPS 02.02.01</w:t>
        </w:r>
      </w:hyperlink>
      <w:r w:rsidR="001F43C4" w:rsidRPr="001F43C4">
        <w:rPr>
          <w:rStyle w:val="normaltextrun"/>
          <w:rFonts w:cstheme="minorHAnsi"/>
        </w:rPr>
        <w:t> Applying for Sponsored Programs: full review, due October 11</w:t>
      </w:r>
      <w:r w:rsidR="00A25BBD">
        <w:rPr>
          <w:rStyle w:val="eop"/>
          <w:rFonts w:cstheme="minorHAnsi"/>
        </w:rPr>
        <w:t xml:space="preserve"> (Senator </w:t>
      </w:r>
      <w:r w:rsidR="003B786B">
        <w:rPr>
          <w:rStyle w:val="eop"/>
          <w:rFonts w:cstheme="minorHAnsi"/>
        </w:rPr>
        <w:t>Ojede)</w:t>
      </w:r>
    </w:p>
    <w:p w14:paraId="1AD2B0DB" w14:textId="77777777" w:rsidR="001F43C4" w:rsidRPr="001F43C4" w:rsidRDefault="001F43C4" w:rsidP="00DB43E4">
      <w:r w:rsidRPr="001F43C4">
        <w:rPr>
          <w:rStyle w:val="eop"/>
          <w:rFonts w:cstheme="minorHAnsi"/>
        </w:rPr>
        <w:t> </w:t>
      </w:r>
    </w:p>
    <w:p w14:paraId="78BFAE28" w14:textId="77777777" w:rsidR="006E2CB5" w:rsidRDefault="006E2CB5" w:rsidP="00DB43E4">
      <w:pPr>
        <w:rPr>
          <w:rStyle w:val="eop"/>
          <w:rFonts w:cstheme="minorHAnsi"/>
          <w:b/>
          <w:bCs/>
        </w:rPr>
      </w:pPr>
    </w:p>
    <w:p w14:paraId="3B91C8E2" w14:textId="13D8A1B1" w:rsidR="00C912E9" w:rsidRPr="00362BD5" w:rsidRDefault="00362BD5" w:rsidP="00DB43E4">
      <w:pPr>
        <w:rPr>
          <w:rStyle w:val="eop"/>
          <w:rFonts w:cstheme="minorHAnsi"/>
          <w:b/>
          <w:bCs/>
        </w:rPr>
      </w:pPr>
      <w:r>
        <w:rPr>
          <w:rStyle w:val="eop"/>
          <w:rFonts w:cstheme="minorHAnsi"/>
          <w:b/>
          <w:bCs/>
        </w:rPr>
        <w:lastRenderedPageBreak/>
        <w:t>Minutes</w:t>
      </w:r>
    </w:p>
    <w:p w14:paraId="2A88EB39" w14:textId="1252215E" w:rsidR="001F43C4" w:rsidRDefault="00C912E9" w:rsidP="00DB43E4">
      <w:p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The September 29, </w:t>
      </w:r>
      <w:proofErr w:type="gramStart"/>
      <w:r>
        <w:rPr>
          <w:rStyle w:val="eop"/>
          <w:rFonts w:cstheme="minorHAnsi"/>
        </w:rPr>
        <w:t>2021</w:t>
      </w:r>
      <w:proofErr w:type="gramEnd"/>
      <w:r>
        <w:rPr>
          <w:rStyle w:val="eop"/>
          <w:rFonts w:cstheme="minorHAnsi"/>
        </w:rPr>
        <w:t xml:space="preserve"> minutes were approved by unanimous vote.</w:t>
      </w:r>
    </w:p>
    <w:p w14:paraId="4B9ECE3A" w14:textId="336820DD" w:rsidR="004D177A" w:rsidRDefault="004D177A" w:rsidP="00DB43E4">
      <w:pPr>
        <w:rPr>
          <w:rStyle w:val="eop"/>
          <w:rFonts w:cstheme="minorHAnsi"/>
        </w:rPr>
      </w:pPr>
    </w:p>
    <w:p w14:paraId="3CC1828C" w14:textId="179BC4F6" w:rsidR="00362BD5" w:rsidRPr="00362BD5" w:rsidRDefault="00362BD5" w:rsidP="00DB43E4">
      <w:pPr>
        <w:rPr>
          <w:rStyle w:val="eop"/>
          <w:rFonts w:cstheme="minorHAnsi"/>
          <w:b/>
          <w:bCs/>
        </w:rPr>
      </w:pPr>
      <w:r w:rsidRPr="00362BD5">
        <w:rPr>
          <w:rStyle w:val="eop"/>
          <w:rFonts w:cstheme="minorHAnsi"/>
          <w:b/>
          <w:bCs/>
        </w:rPr>
        <w:t>Other items</w:t>
      </w:r>
    </w:p>
    <w:p w14:paraId="75754E9B" w14:textId="58AF0A36" w:rsidR="004D177A" w:rsidRPr="0073773E" w:rsidRDefault="004D177A" w:rsidP="003D13E5">
      <w:pPr>
        <w:pStyle w:val="ListParagraph"/>
        <w:numPr>
          <w:ilvl w:val="0"/>
          <w:numId w:val="2"/>
        </w:numPr>
      </w:pPr>
      <w:r w:rsidRPr="00893FE6">
        <w:rPr>
          <w:rStyle w:val="eop"/>
          <w:rFonts w:cstheme="minorHAnsi"/>
        </w:rPr>
        <w:t xml:space="preserve">Senators are encouraged to </w:t>
      </w:r>
      <w:r w:rsidR="00B6379C" w:rsidRPr="00893FE6">
        <w:rPr>
          <w:rStyle w:val="eop"/>
          <w:rFonts w:cstheme="minorHAnsi"/>
        </w:rPr>
        <w:t>help senate lia</w:t>
      </w:r>
      <w:r w:rsidR="0090172A" w:rsidRPr="00893FE6">
        <w:rPr>
          <w:rStyle w:val="eop"/>
          <w:rFonts w:cstheme="minorHAnsi"/>
        </w:rPr>
        <w:t>i</w:t>
      </w:r>
      <w:r w:rsidR="00B6379C" w:rsidRPr="00893FE6">
        <w:rPr>
          <w:rStyle w:val="eop"/>
          <w:rFonts w:cstheme="minorHAnsi"/>
        </w:rPr>
        <w:t xml:space="preserve">sons </w:t>
      </w:r>
      <w:r w:rsidR="00A10F88" w:rsidRPr="00893FE6">
        <w:rPr>
          <w:rStyle w:val="eop"/>
          <w:rFonts w:cstheme="minorHAnsi"/>
        </w:rPr>
        <w:t>understand their role</w:t>
      </w:r>
      <w:r w:rsidR="00B6379C" w:rsidRPr="00893FE6">
        <w:rPr>
          <w:rStyle w:val="eop"/>
          <w:rFonts w:cstheme="minorHAnsi"/>
        </w:rPr>
        <w:t xml:space="preserve">.  A senator recommended that we </w:t>
      </w:r>
      <w:r w:rsidR="0090172A" w:rsidRPr="00893FE6">
        <w:rPr>
          <w:rStyle w:val="eop"/>
          <w:rFonts w:cstheme="minorHAnsi"/>
        </w:rPr>
        <w:t xml:space="preserve">provide a forum </w:t>
      </w:r>
      <w:r w:rsidR="00A10F88" w:rsidRPr="00893FE6">
        <w:rPr>
          <w:rStyle w:val="eop"/>
          <w:rFonts w:cstheme="minorHAnsi"/>
        </w:rPr>
        <w:t xml:space="preserve">at our upcoming meeting </w:t>
      </w:r>
      <w:r w:rsidR="0090172A" w:rsidRPr="00893FE6">
        <w:rPr>
          <w:rStyle w:val="eop"/>
          <w:rFonts w:cstheme="minorHAnsi"/>
        </w:rPr>
        <w:t>for liaisons to speak</w:t>
      </w:r>
      <w:r w:rsidR="00A10F88" w:rsidRPr="00893FE6">
        <w:rPr>
          <w:rStyle w:val="eop"/>
          <w:rFonts w:cstheme="minorHAnsi"/>
        </w:rPr>
        <w:t xml:space="preserve"> openly</w:t>
      </w:r>
      <w:r w:rsidR="0090172A" w:rsidRPr="00893FE6">
        <w:rPr>
          <w:rStyle w:val="eop"/>
          <w:rFonts w:cstheme="minorHAnsi"/>
        </w:rPr>
        <w:t>.</w:t>
      </w:r>
      <w:r w:rsidR="00A10F88" w:rsidRPr="00893FE6">
        <w:rPr>
          <w:rStyle w:val="eop"/>
          <w:rFonts w:cstheme="minorHAnsi"/>
        </w:rPr>
        <w:t xml:space="preserve">  Senators </w:t>
      </w:r>
      <w:r w:rsidR="00862E1A" w:rsidRPr="00893FE6">
        <w:rPr>
          <w:rStyle w:val="eop"/>
          <w:rFonts w:cstheme="minorHAnsi"/>
        </w:rPr>
        <w:t>from each college will send a more personal</w:t>
      </w:r>
      <w:r w:rsidR="00D8535E" w:rsidRPr="00893FE6">
        <w:rPr>
          <w:rStyle w:val="eop"/>
          <w:rFonts w:cstheme="minorHAnsi"/>
        </w:rPr>
        <w:t>ized</w:t>
      </w:r>
      <w:r w:rsidR="00862E1A" w:rsidRPr="00893FE6">
        <w:rPr>
          <w:rStyle w:val="eop"/>
          <w:rFonts w:cstheme="minorHAnsi"/>
        </w:rPr>
        <w:t xml:space="preserve"> message to their liaisons to </w:t>
      </w:r>
      <w:r w:rsidR="00362BD5" w:rsidRPr="00893FE6">
        <w:rPr>
          <w:rStyle w:val="eop"/>
          <w:rFonts w:cstheme="minorHAnsi"/>
        </w:rPr>
        <w:t>encourage their participation.</w:t>
      </w:r>
    </w:p>
    <w:p w14:paraId="5EDA0008" w14:textId="77777777" w:rsidR="007D3239" w:rsidRPr="001F43C4" w:rsidRDefault="007D3239" w:rsidP="00DB43E4"/>
    <w:p w14:paraId="08346E0E" w14:textId="0A136268" w:rsidR="005507CE" w:rsidRPr="001F43C4" w:rsidRDefault="009C2566" w:rsidP="00DB43E4">
      <w:r w:rsidRPr="001F43C4">
        <w:t xml:space="preserve">Meeting adjourned at </w:t>
      </w:r>
      <w:r w:rsidR="00B206AD">
        <w:t>6:02</w:t>
      </w:r>
      <w:r w:rsidR="00537A5A" w:rsidRPr="001F43C4">
        <w:t xml:space="preserve"> pm</w:t>
      </w:r>
    </w:p>
    <w:p w14:paraId="56CBA59A" w14:textId="5D9CFBA1" w:rsidR="0093666D" w:rsidRPr="001F43C4" w:rsidRDefault="0093666D" w:rsidP="00DB43E4"/>
    <w:p w14:paraId="6A6E44E6" w14:textId="503B269B" w:rsidR="0093666D" w:rsidRPr="001F43C4" w:rsidRDefault="0093666D" w:rsidP="00DB43E4">
      <w:r w:rsidRPr="001F43C4">
        <w:t>Minutes</w:t>
      </w:r>
      <w:r w:rsidR="008F083C">
        <w:t xml:space="preserve"> were</w:t>
      </w:r>
      <w:r w:rsidRPr="001F43C4">
        <w:t xml:space="preserve"> submitted by </w:t>
      </w:r>
      <w:r w:rsidR="00C435D1" w:rsidRPr="001F43C4">
        <w:t>Ben Martin</w:t>
      </w:r>
    </w:p>
    <w:p w14:paraId="2EB2C276" w14:textId="1ADAE842" w:rsidR="0093666D" w:rsidRPr="001F43C4" w:rsidRDefault="0093666D" w:rsidP="00DB43E4"/>
    <w:p w14:paraId="67BE2A6E" w14:textId="056EB89F" w:rsidR="000935B0" w:rsidRPr="001F43C4" w:rsidRDefault="000935B0" w:rsidP="00DB43E4"/>
    <w:p w14:paraId="03AD6C81" w14:textId="7F2230F9" w:rsidR="000935B0" w:rsidRPr="001F43C4" w:rsidRDefault="000935B0" w:rsidP="00DB43E4"/>
    <w:sectPr w:rsidR="000935B0" w:rsidRPr="001F43C4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B54"/>
    <w:multiLevelType w:val="hybridMultilevel"/>
    <w:tmpl w:val="5AC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29B"/>
    <w:multiLevelType w:val="hybridMultilevel"/>
    <w:tmpl w:val="617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087D"/>
    <w:multiLevelType w:val="hybridMultilevel"/>
    <w:tmpl w:val="B6F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eDAEFTIjL1ooe7pPmdy8Kh1fkxE1AWATi9nnSH1CA6E/Ni1cAS611PU7JzjQT2voDJq9b+Wu87KYVNyDb+mw==" w:salt="iTqcWdPDrJWE6SHcT4fw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07F21"/>
    <w:rsid w:val="000204AD"/>
    <w:rsid w:val="00020B7D"/>
    <w:rsid w:val="000223B2"/>
    <w:rsid w:val="00022452"/>
    <w:rsid w:val="0002252B"/>
    <w:rsid w:val="00023538"/>
    <w:rsid w:val="00023DC3"/>
    <w:rsid w:val="00035499"/>
    <w:rsid w:val="00037549"/>
    <w:rsid w:val="0004654C"/>
    <w:rsid w:val="00052832"/>
    <w:rsid w:val="000528B6"/>
    <w:rsid w:val="00053D5C"/>
    <w:rsid w:val="00054EF9"/>
    <w:rsid w:val="0005533B"/>
    <w:rsid w:val="000607F4"/>
    <w:rsid w:val="00061C2A"/>
    <w:rsid w:val="00065D57"/>
    <w:rsid w:val="0007167B"/>
    <w:rsid w:val="0007234F"/>
    <w:rsid w:val="000819AB"/>
    <w:rsid w:val="00082295"/>
    <w:rsid w:val="00082C58"/>
    <w:rsid w:val="000852DF"/>
    <w:rsid w:val="0008558D"/>
    <w:rsid w:val="00085D54"/>
    <w:rsid w:val="0008795D"/>
    <w:rsid w:val="0009067E"/>
    <w:rsid w:val="000926DA"/>
    <w:rsid w:val="000935B0"/>
    <w:rsid w:val="0009489D"/>
    <w:rsid w:val="000A38D1"/>
    <w:rsid w:val="000A3C60"/>
    <w:rsid w:val="000B4785"/>
    <w:rsid w:val="000B4FD6"/>
    <w:rsid w:val="000B601C"/>
    <w:rsid w:val="000B7CBC"/>
    <w:rsid w:val="000C7294"/>
    <w:rsid w:val="000D25E8"/>
    <w:rsid w:val="000D6835"/>
    <w:rsid w:val="000D7E87"/>
    <w:rsid w:val="000E1033"/>
    <w:rsid w:val="000E20E9"/>
    <w:rsid w:val="000F3510"/>
    <w:rsid w:val="000F6CF1"/>
    <w:rsid w:val="000F7B4E"/>
    <w:rsid w:val="00101CFC"/>
    <w:rsid w:val="001041A3"/>
    <w:rsid w:val="00112397"/>
    <w:rsid w:val="00114234"/>
    <w:rsid w:val="00115BD6"/>
    <w:rsid w:val="00115EFC"/>
    <w:rsid w:val="00116890"/>
    <w:rsid w:val="001170D9"/>
    <w:rsid w:val="00120162"/>
    <w:rsid w:val="001237CD"/>
    <w:rsid w:val="0012404E"/>
    <w:rsid w:val="00125394"/>
    <w:rsid w:val="00126FCA"/>
    <w:rsid w:val="00130FAB"/>
    <w:rsid w:val="00136F76"/>
    <w:rsid w:val="00141FCA"/>
    <w:rsid w:val="001423E5"/>
    <w:rsid w:val="00152697"/>
    <w:rsid w:val="00152AC1"/>
    <w:rsid w:val="00153671"/>
    <w:rsid w:val="001547CE"/>
    <w:rsid w:val="001552F6"/>
    <w:rsid w:val="00162614"/>
    <w:rsid w:val="00164A56"/>
    <w:rsid w:val="001723CA"/>
    <w:rsid w:val="00176FD6"/>
    <w:rsid w:val="00177D98"/>
    <w:rsid w:val="00183D93"/>
    <w:rsid w:val="00185D1D"/>
    <w:rsid w:val="00191F53"/>
    <w:rsid w:val="00194CE7"/>
    <w:rsid w:val="00195066"/>
    <w:rsid w:val="00197C87"/>
    <w:rsid w:val="001A378C"/>
    <w:rsid w:val="001A4193"/>
    <w:rsid w:val="001A621C"/>
    <w:rsid w:val="001A7145"/>
    <w:rsid w:val="001B0799"/>
    <w:rsid w:val="001B2C73"/>
    <w:rsid w:val="001B4469"/>
    <w:rsid w:val="001C08D5"/>
    <w:rsid w:val="001D02E6"/>
    <w:rsid w:val="001D2507"/>
    <w:rsid w:val="001D52C1"/>
    <w:rsid w:val="001E20E1"/>
    <w:rsid w:val="001F1763"/>
    <w:rsid w:val="001F25C5"/>
    <w:rsid w:val="001F43C4"/>
    <w:rsid w:val="001F5059"/>
    <w:rsid w:val="001F5434"/>
    <w:rsid w:val="001F56DF"/>
    <w:rsid w:val="00200784"/>
    <w:rsid w:val="002018FD"/>
    <w:rsid w:val="002037FD"/>
    <w:rsid w:val="002063FE"/>
    <w:rsid w:val="00206964"/>
    <w:rsid w:val="00207904"/>
    <w:rsid w:val="002104C5"/>
    <w:rsid w:val="00212076"/>
    <w:rsid w:val="00213B1A"/>
    <w:rsid w:val="00216A13"/>
    <w:rsid w:val="002171D9"/>
    <w:rsid w:val="002227B1"/>
    <w:rsid w:val="0022289B"/>
    <w:rsid w:val="00222930"/>
    <w:rsid w:val="0022348E"/>
    <w:rsid w:val="00224B13"/>
    <w:rsid w:val="00224D31"/>
    <w:rsid w:val="00224F23"/>
    <w:rsid w:val="00236719"/>
    <w:rsid w:val="00252676"/>
    <w:rsid w:val="00260715"/>
    <w:rsid w:val="00262135"/>
    <w:rsid w:val="00264B90"/>
    <w:rsid w:val="00266EC0"/>
    <w:rsid w:val="00277809"/>
    <w:rsid w:val="002809CF"/>
    <w:rsid w:val="002816A1"/>
    <w:rsid w:val="002826C8"/>
    <w:rsid w:val="00290BA0"/>
    <w:rsid w:val="00292CC3"/>
    <w:rsid w:val="002A434B"/>
    <w:rsid w:val="002A4E27"/>
    <w:rsid w:val="002A672E"/>
    <w:rsid w:val="002B298D"/>
    <w:rsid w:val="002B6716"/>
    <w:rsid w:val="002C39E9"/>
    <w:rsid w:val="002C4CD5"/>
    <w:rsid w:val="002D13A1"/>
    <w:rsid w:val="002D278C"/>
    <w:rsid w:val="002D7584"/>
    <w:rsid w:val="002E220D"/>
    <w:rsid w:val="002E4C25"/>
    <w:rsid w:val="002E762E"/>
    <w:rsid w:val="002E7A33"/>
    <w:rsid w:val="002F10DB"/>
    <w:rsid w:val="002F5F5E"/>
    <w:rsid w:val="002F72CD"/>
    <w:rsid w:val="00303561"/>
    <w:rsid w:val="003124D4"/>
    <w:rsid w:val="00312ADA"/>
    <w:rsid w:val="003142E1"/>
    <w:rsid w:val="003144BD"/>
    <w:rsid w:val="00315647"/>
    <w:rsid w:val="003201A3"/>
    <w:rsid w:val="00323405"/>
    <w:rsid w:val="00323EE3"/>
    <w:rsid w:val="00324FC5"/>
    <w:rsid w:val="003265FC"/>
    <w:rsid w:val="00330F32"/>
    <w:rsid w:val="00332634"/>
    <w:rsid w:val="00334844"/>
    <w:rsid w:val="0033796D"/>
    <w:rsid w:val="003408FF"/>
    <w:rsid w:val="00345D72"/>
    <w:rsid w:val="003508A0"/>
    <w:rsid w:val="00353568"/>
    <w:rsid w:val="00353870"/>
    <w:rsid w:val="003612C7"/>
    <w:rsid w:val="00362BD5"/>
    <w:rsid w:val="003630AB"/>
    <w:rsid w:val="00363F2B"/>
    <w:rsid w:val="003649D8"/>
    <w:rsid w:val="00367F01"/>
    <w:rsid w:val="00372CC2"/>
    <w:rsid w:val="00373855"/>
    <w:rsid w:val="003753FF"/>
    <w:rsid w:val="003774B4"/>
    <w:rsid w:val="0038194A"/>
    <w:rsid w:val="0038751D"/>
    <w:rsid w:val="00387B17"/>
    <w:rsid w:val="00393018"/>
    <w:rsid w:val="00394D8D"/>
    <w:rsid w:val="003A214D"/>
    <w:rsid w:val="003B23A1"/>
    <w:rsid w:val="003B786B"/>
    <w:rsid w:val="003B7889"/>
    <w:rsid w:val="003C2355"/>
    <w:rsid w:val="003C597D"/>
    <w:rsid w:val="003C5B34"/>
    <w:rsid w:val="003C6313"/>
    <w:rsid w:val="003C6552"/>
    <w:rsid w:val="003C728A"/>
    <w:rsid w:val="003D13E5"/>
    <w:rsid w:val="003D5DAD"/>
    <w:rsid w:val="003E09C4"/>
    <w:rsid w:val="003E7EEB"/>
    <w:rsid w:val="003F2771"/>
    <w:rsid w:val="003F374F"/>
    <w:rsid w:val="003F78D5"/>
    <w:rsid w:val="00404383"/>
    <w:rsid w:val="004044B1"/>
    <w:rsid w:val="00405C31"/>
    <w:rsid w:val="0040658E"/>
    <w:rsid w:val="00406BD2"/>
    <w:rsid w:val="00412358"/>
    <w:rsid w:val="00415E74"/>
    <w:rsid w:val="00420340"/>
    <w:rsid w:val="004231F0"/>
    <w:rsid w:val="004279CC"/>
    <w:rsid w:val="004322FD"/>
    <w:rsid w:val="00434D10"/>
    <w:rsid w:val="00434E0A"/>
    <w:rsid w:val="004358D5"/>
    <w:rsid w:val="004363D1"/>
    <w:rsid w:val="00444209"/>
    <w:rsid w:val="004469D0"/>
    <w:rsid w:val="00453446"/>
    <w:rsid w:val="00453E1B"/>
    <w:rsid w:val="0047145E"/>
    <w:rsid w:val="0047267A"/>
    <w:rsid w:val="00472750"/>
    <w:rsid w:val="00473878"/>
    <w:rsid w:val="004742FB"/>
    <w:rsid w:val="00474B44"/>
    <w:rsid w:val="00474DBA"/>
    <w:rsid w:val="0047782A"/>
    <w:rsid w:val="00477F4C"/>
    <w:rsid w:val="00482A30"/>
    <w:rsid w:val="00483D28"/>
    <w:rsid w:val="00486ADC"/>
    <w:rsid w:val="00490939"/>
    <w:rsid w:val="00493090"/>
    <w:rsid w:val="00496898"/>
    <w:rsid w:val="00497B04"/>
    <w:rsid w:val="004A0388"/>
    <w:rsid w:val="004A2B5A"/>
    <w:rsid w:val="004A340F"/>
    <w:rsid w:val="004A514C"/>
    <w:rsid w:val="004A5AAB"/>
    <w:rsid w:val="004B02DA"/>
    <w:rsid w:val="004B3744"/>
    <w:rsid w:val="004B639E"/>
    <w:rsid w:val="004B7A6F"/>
    <w:rsid w:val="004C1FFE"/>
    <w:rsid w:val="004C39ED"/>
    <w:rsid w:val="004C4A4F"/>
    <w:rsid w:val="004C7AFA"/>
    <w:rsid w:val="004D177A"/>
    <w:rsid w:val="004D583A"/>
    <w:rsid w:val="004E0C8B"/>
    <w:rsid w:val="004F39EF"/>
    <w:rsid w:val="004F5480"/>
    <w:rsid w:val="004F734F"/>
    <w:rsid w:val="00501992"/>
    <w:rsid w:val="00501A5A"/>
    <w:rsid w:val="00511E45"/>
    <w:rsid w:val="005143C8"/>
    <w:rsid w:val="005167BC"/>
    <w:rsid w:val="00521D69"/>
    <w:rsid w:val="00522780"/>
    <w:rsid w:val="00523F40"/>
    <w:rsid w:val="00530126"/>
    <w:rsid w:val="005314AF"/>
    <w:rsid w:val="00537A5A"/>
    <w:rsid w:val="00541AB4"/>
    <w:rsid w:val="00541B42"/>
    <w:rsid w:val="0054566F"/>
    <w:rsid w:val="005471C8"/>
    <w:rsid w:val="00547C90"/>
    <w:rsid w:val="005507CE"/>
    <w:rsid w:val="00551C8A"/>
    <w:rsid w:val="00555A2C"/>
    <w:rsid w:val="00555B25"/>
    <w:rsid w:val="00556D83"/>
    <w:rsid w:val="00563705"/>
    <w:rsid w:val="00564C81"/>
    <w:rsid w:val="00565846"/>
    <w:rsid w:val="005668DB"/>
    <w:rsid w:val="00575B67"/>
    <w:rsid w:val="00576627"/>
    <w:rsid w:val="00581F60"/>
    <w:rsid w:val="0058229F"/>
    <w:rsid w:val="0058331D"/>
    <w:rsid w:val="00584A24"/>
    <w:rsid w:val="005856FE"/>
    <w:rsid w:val="0058576B"/>
    <w:rsid w:val="00594717"/>
    <w:rsid w:val="0059622B"/>
    <w:rsid w:val="005A0303"/>
    <w:rsid w:val="005A0E35"/>
    <w:rsid w:val="005A2262"/>
    <w:rsid w:val="005C2BFA"/>
    <w:rsid w:val="005C2F6F"/>
    <w:rsid w:val="005C6114"/>
    <w:rsid w:val="005D1D64"/>
    <w:rsid w:val="005D4443"/>
    <w:rsid w:val="005D5A52"/>
    <w:rsid w:val="005D7DFE"/>
    <w:rsid w:val="005D7EAA"/>
    <w:rsid w:val="005E1A3A"/>
    <w:rsid w:val="005E38DD"/>
    <w:rsid w:val="005E75DE"/>
    <w:rsid w:val="005F4EA1"/>
    <w:rsid w:val="005F7350"/>
    <w:rsid w:val="00601E68"/>
    <w:rsid w:val="00602438"/>
    <w:rsid w:val="00602D90"/>
    <w:rsid w:val="0060458F"/>
    <w:rsid w:val="00612710"/>
    <w:rsid w:val="00617EA7"/>
    <w:rsid w:val="00621423"/>
    <w:rsid w:val="006270D5"/>
    <w:rsid w:val="00627449"/>
    <w:rsid w:val="00627698"/>
    <w:rsid w:val="00627AAE"/>
    <w:rsid w:val="00631B31"/>
    <w:rsid w:val="00632369"/>
    <w:rsid w:val="00637918"/>
    <w:rsid w:val="0064234C"/>
    <w:rsid w:val="006426B0"/>
    <w:rsid w:val="006449A9"/>
    <w:rsid w:val="00644C62"/>
    <w:rsid w:val="00651B0D"/>
    <w:rsid w:val="00652D3B"/>
    <w:rsid w:val="0065436B"/>
    <w:rsid w:val="00654DCF"/>
    <w:rsid w:val="00654FA2"/>
    <w:rsid w:val="00656CFD"/>
    <w:rsid w:val="0066122F"/>
    <w:rsid w:val="00664B2B"/>
    <w:rsid w:val="006659F8"/>
    <w:rsid w:val="006707B6"/>
    <w:rsid w:val="00670B0D"/>
    <w:rsid w:val="00676D93"/>
    <w:rsid w:val="00677F0C"/>
    <w:rsid w:val="006816B3"/>
    <w:rsid w:val="006846E1"/>
    <w:rsid w:val="0068658D"/>
    <w:rsid w:val="00696EA0"/>
    <w:rsid w:val="006A581D"/>
    <w:rsid w:val="006A5B41"/>
    <w:rsid w:val="006B2179"/>
    <w:rsid w:val="006B4FB6"/>
    <w:rsid w:val="006B6FF1"/>
    <w:rsid w:val="006C3F45"/>
    <w:rsid w:val="006D27E3"/>
    <w:rsid w:val="006D2D14"/>
    <w:rsid w:val="006E2CB5"/>
    <w:rsid w:val="006E3113"/>
    <w:rsid w:val="006E34F4"/>
    <w:rsid w:val="006E53AF"/>
    <w:rsid w:val="006E5DE8"/>
    <w:rsid w:val="006F0385"/>
    <w:rsid w:val="006F0BA9"/>
    <w:rsid w:val="006F2ACE"/>
    <w:rsid w:val="006F5B6E"/>
    <w:rsid w:val="007003C7"/>
    <w:rsid w:val="007035DF"/>
    <w:rsid w:val="0070735C"/>
    <w:rsid w:val="00707F1A"/>
    <w:rsid w:val="00712082"/>
    <w:rsid w:val="0071328D"/>
    <w:rsid w:val="0071486A"/>
    <w:rsid w:val="007157F7"/>
    <w:rsid w:val="007178D9"/>
    <w:rsid w:val="00722CE8"/>
    <w:rsid w:val="00722F91"/>
    <w:rsid w:val="007265DC"/>
    <w:rsid w:val="00727D49"/>
    <w:rsid w:val="00730558"/>
    <w:rsid w:val="007307A4"/>
    <w:rsid w:val="00732CED"/>
    <w:rsid w:val="00733BF2"/>
    <w:rsid w:val="0073773E"/>
    <w:rsid w:val="00741290"/>
    <w:rsid w:val="00743333"/>
    <w:rsid w:val="00745D46"/>
    <w:rsid w:val="00747EF0"/>
    <w:rsid w:val="0075494D"/>
    <w:rsid w:val="00761BF6"/>
    <w:rsid w:val="00764809"/>
    <w:rsid w:val="0076483F"/>
    <w:rsid w:val="00766BE4"/>
    <w:rsid w:val="00770BAA"/>
    <w:rsid w:val="00774589"/>
    <w:rsid w:val="00777A5F"/>
    <w:rsid w:val="00781C87"/>
    <w:rsid w:val="007834D6"/>
    <w:rsid w:val="00784412"/>
    <w:rsid w:val="00796942"/>
    <w:rsid w:val="007978D6"/>
    <w:rsid w:val="007A336F"/>
    <w:rsid w:val="007A75E8"/>
    <w:rsid w:val="007A7A00"/>
    <w:rsid w:val="007B1F03"/>
    <w:rsid w:val="007B36AB"/>
    <w:rsid w:val="007B6118"/>
    <w:rsid w:val="007B7258"/>
    <w:rsid w:val="007B7D52"/>
    <w:rsid w:val="007C63E3"/>
    <w:rsid w:val="007C7C12"/>
    <w:rsid w:val="007D0559"/>
    <w:rsid w:val="007D3239"/>
    <w:rsid w:val="007D50C3"/>
    <w:rsid w:val="007E0006"/>
    <w:rsid w:val="007E073E"/>
    <w:rsid w:val="007E0D85"/>
    <w:rsid w:val="007E3A49"/>
    <w:rsid w:val="007E4C33"/>
    <w:rsid w:val="007E57AE"/>
    <w:rsid w:val="007E666C"/>
    <w:rsid w:val="007F1F07"/>
    <w:rsid w:val="007F5D75"/>
    <w:rsid w:val="008027BB"/>
    <w:rsid w:val="00816A59"/>
    <w:rsid w:val="00820508"/>
    <w:rsid w:val="00820568"/>
    <w:rsid w:val="00823BAB"/>
    <w:rsid w:val="00833E82"/>
    <w:rsid w:val="00835235"/>
    <w:rsid w:val="0083766A"/>
    <w:rsid w:val="00841294"/>
    <w:rsid w:val="008416DF"/>
    <w:rsid w:val="00844A7D"/>
    <w:rsid w:val="00847950"/>
    <w:rsid w:val="00854E37"/>
    <w:rsid w:val="00855A74"/>
    <w:rsid w:val="00857985"/>
    <w:rsid w:val="00862E1A"/>
    <w:rsid w:val="0087051E"/>
    <w:rsid w:val="008738B3"/>
    <w:rsid w:val="00880663"/>
    <w:rsid w:val="00880B34"/>
    <w:rsid w:val="008811B7"/>
    <w:rsid w:val="00881DEF"/>
    <w:rsid w:val="00884710"/>
    <w:rsid w:val="00890B16"/>
    <w:rsid w:val="00893FE6"/>
    <w:rsid w:val="00895011"/>
    <w:rsid w:val="008976A0"/>
    <w:rsid w:val="00897840"/>
    <w:rsid w:val="00897B9F"/>
    <w:rsid w:val="008A0FC3"/>
    <w:rsid w:val="008A1568"/>
    <w:rsid w:val="008A3523"/>
    <w:rsid w:val="008B283F"/>
    <w:rsid w:val="008C1E12"/>
    <w:rsid w:val="008C3418"/>
    <w:rsid w:val="008C3E06"/>
    <w:rsid w:val="008C75F5"/>
    <w:rsid w:val="008D0BF6"/>
    <w:rsid w:val="008D537F"/>
    <w:rsid w:val="008E02C5"/>
    <w:rsid w:val="008E1DAC"/>
    <w:rsid w:val="008E314A"/>
    <w:rsid w:val="008E35BF"/>
    <w:rsid w:val="008E4746"/>
    <w:rsid w:val="008E5CF2"/>
    <w:rsid w:val="008E7315"/>
    <w:rsid w:val="008F083C"/>
    <w:rsid w:val="008F13A8"/>
    <w:rsid w:val="008F1580"/>
    <w:rsid w:val="008F3338"/>
    <w:rsid w:val="008F399C"/>
    <w:rsid w:val="00900074"/>
    <w:rsid w:val="0090172A"/>
    <w:rsid w:val="009018F3"/>
    <w:rsid w:val="00904812"/>
    <w:rsid w:val="0091157B"/>
    <w:rsid w:val="009152C7"/>
    <w:rsid w:val="00922D02"/>
    <w:rsid w:val="00922F86"/>
    <w:rsid w:val="0092426A"/>
    <w:rsid w:val="0092544F"/>
    <w:rsid w:val="009337BA"/>
    <w:rsid w:val="00934D23"/>
    <w:rsid w:val="0093666D"/>
    <w:rsid w:val="009377EF"/>
    <w:rsid w:val="009441DB"/>
    <w:rsid w:val="009446AB"/>
    <w:rsid w:val="00945110"/>
    <w:rsid w:val="00945F78"/>
    <w:rsid w:val="009470D8"/>
    <w:rsid w:val="00950684"/>
    <w:rsid w:val="0095343C"/>
    <w:rsid w:val="00956A4A"/>
    <w:rsid w:val="00965CB6"/>
    <w:rsid w:val="009679F5"/>
    <w:rsid w:val="00970627"/>
    <w:rsid w:val="00985C24"/>
    <w:rsid w:val="00986D83"/>
    <w:rsid w:val="0099001D"/>
    <w:rsid w:val="00991E23"/>
    <w:rsid w:val="009A163A"/>
    <w:rsid w:val="009A242E"/>
    <w:rsid w:val="009B45A8"/>
    <w:rsid w:val="009B5015"/>
    <w:rsid w:val="009B6FC5"/>
    <w:rsid w:val="009C2566"/>
    <w:rsid w:val="009D0E6E"/>
    <w:rsid w:val="009D2CEA"/>
    <w:rsid w:val="009D3BD5"/>
    <w:rsid w:val="009D7341"/>
    <w:rsid w:val="009E155E"/>
    <w:rsid w:val="009E50C1"/>
    <w:rsid w:val="009E797B"/>
    <w:rsid w:val="009F2A43"/>
    <w:rsid w:val="009F2FE7"/>
    <w:rsid w:val="009F3B6C"/>
    <w:rsid w:val="009F56FB"/>
    <w:rsid w:val="009F674E"/>
    <w:rsid w:val="009F6BF0"/>
    <w:rsid w:val="00A00E70"/>
    <w:rsid w:val="00A01A06"/>
    <w:rsid w:val="00A03661"/>
    <w:rsid w:val="00A03910"/>
    <w:rsid w:val="00A0547B"/>
    <w:rsid w:val="00A07211"/>
    <w:rsid w:val="00A107D9"/>
    <w:rsid w:val="00A10F88"/>
    <w:rsid w:val="00A11B8E"/>
    <w:rsid w:val="00A155FE"/>
    <w:rsid w:val="00A20DBE"/>
    <w:rsid w:val="00A25BBD"/>
    <w:rsid w:val="00A323F8"/>
    <w:rsid w:val="00A356E3"/>
    <w:rsid w:val="00A406CC"/>
    <w:rsid w:val="00A46B9A"/>
    <w:rsid w:val="00A51951"/>
    <w:rsid w:val="00A52290"/>
    <w:rsid w:val="00A525AF"/>
    <w:rsid w:val="00A528C3"/>
    <w:rsid w:val="00A52CAA"/>
    <w:rsid w:val="00A55DE7"/>
    <w:rsid w:val="00A571FB"/>
    <w:rsid w:val="00A7161F"/>
    <w:rsid w:val="00A73D58"/>
    <w:rsid w:val="00A815C6"/>
    <w:rsid w:val="00A81C6E"/>
    <w:rsid w:val="00A82049"/>
    <w:rsid w:val="00A8205F"/>
    <w:rsid w:val="00A863E8"/>
    <w:rsid w:val="00A94FA5"/>
    <w:rsid w:val="00A95625"/>
    <w:rsid w:val="00AA0299"/>
    <w:rsid w:val="00AA2F65"/>
    <w:rsid w:val="00AA7D6D"/>
    <w:rsid w:val="00AB0DE2"/>
    <w:rsid w:val="00AB5005"/>
    <w:rsid w:val="00AB57B5"/>
    <w:rsid w:val="00AB5C54"/>
    <w:rsid w:val="00AB5FFB"/>
    <w:rsid w:val="00AC2F7D"/>
    <w:rsid w:val="00AD03AE"/>
    <w:rsid w:val="00AD2EFC"/>
    <w:rsid w:val="00AD389A"/>
    <w:rsid w:val="00AD45A7"/>
    <w:rsid w:val="00AD477C"/>
    <w:rsid w:val="00AD6B4D"/>
    <w:rsid w:val="00AD725D"/>
    <w:rsid w:val="00AE060D"/>
    <w:rsid w:val="00AE2A7F"/>
    <w:rsid w:val="00AE5217"/>
    <w:rsid w:val="00AE70D9"/>
    <w:rsid w:val="00AF0A5F"/>
    <w:rsid w:val="00AF1939"/>
    <w:rsid w:val="00AF2613"/>
    <w:rsid w:val="00AF2A71"/>
    <w:rsid w:val="00B0123E"/>
    <w:rsid w:val="00B01E74"/>
    <w:rsid w:val="00B021B1"/>
    <w:rsid w:val="00B05F71"/>
    <w:rsid w:val="00B0645A"/>
    <w:rsid w:val="00B10907"/>
    <w:rsid w:val="00B17989"/>
    <w:rsid w:val="00B206AD"/>
    <w:rsid w:val="00B20E05"/>
    <w:rsid w:val="00B21081"/>
    <w:rsid w:val="00B221C7"/>
    <w:rsid w:val="00B34D3C"/>
    <w:rsid w:val="00B3642B"/>
    <w:rsid w:val="00B53327"/>
    <w:rsid w:val="00B535F8"/>
    <w:rsid w:val="00B5632B"/>
    <w:rsid w:val="00B567FD"/>
    <w:rsid w:val="00B60423"/>
    <w:rsid w:val="00B61E94"/>
    <w:rsid w:val="00B6214B"/>
    <w:rsid w:val="00B6379C"/>
    <w:rsid w:val="00B721D0"/>
    <w:rsid w:val="00B72817"/>
    <w:rsid w:val="00B73C3F"/>
    <w:rsid w:val="00B752FC"/>
    <w:rsid w:val="00B755CC"/>
    <w:rsid w:val="00B75BFA"/>
    <w:rsid w:val="00B769BF"/>
    <w:rsid w:val="00B7753C"/>
    <w:rsid w:val="00B827B6"/>
    <w:rsid w:val="00B857CD"/>
    <w:rsid w:val="00B901D6"/>
    <w:rsid w:val="00B90664"/>
    <w:rsid w:val="00B93041"/>
    <w:rsid w:val="00B95038"/>
    <w:rsid w:val="00B96A50"/>
    <w:rsid w:val="00B97B5C"/>
    <w:rsid w:val="00BB1FC8"/>
    <w:rsid w:val="00BB43EF"/>
    <w:rsid w:val="00BB7CAB"/>
    <w:rsid w:val="00BC6F1E"/>
    <w:rsid w:val="00BD426A"/>
    <w:rsid w:val="00BD4990"/>
    <w:rsid w:val="00BD4C7D"/>
    <w:rsid w:val="00BD7EE6"/>
    <w:rsid w:val="00BE057E"/>
    <w:rsid w:val="00BE1F31"/>
    <w:rsid w:val="00BF40B4"/>
    <w:rsid w:val="00BF639A"/>
    <w:rsid w:val="00BF70F5"/>
    <w:rsid w:val="00C079BC"/>
    <w:rsid w:val="00C142F5"/>
    <w:rsid w:val="00C15059"/>
    <w:rsid w:val="00C21BEA"/>
    <w:rsid w:val="00C2285D"/>
    <w:rsid w:val="00C2292A"/>
    <w:rsid w:val="00C2703D"/>
    <w:rsid w:val="00C311D2"/>
    <w:rsid w:val="00C3393A"/>
    <w:rsid w:val="00C35000"/>
    <w:rsid w:val="00C3579C"/>
    <w:rsid w:val="00C36619"/>
    <w:rsid w:val="00C402A6"/>
    <w:rsid w:val="00C435D1"/>
    <w:rsid w:val="00C441BE"/>
    <w:rsid w:val="00C4440E"/>
    <w:rsid w:val="00C448A9"/>
    <w:rsid w:val="00C46934"/>
    <w:rsid w:val="00C47F99"/>
    <w:rsid w:val="00C50B00"/>
    <w:rsid w:val="00C57E9D"/>
    <w:rsid w:val="00C6108C"/>
    <w:rsid w:val="00C6154B"/>
    <w:rsid w:val="00C61849"/>
    <w:rsid w:val="00C643CE"/>
    <w:rsid w:val="00C6741A"/>
    <w:rsid w:val="00C72312"/>
    <w:rsid w:val="00C7317A"/>
    <w:rsid w:val="00C7444E"/>
    <w:rsid w:val="00C759DF"/>
    <w:rsid w:val="00C76998"/>
    <w:rsid w:val="00C80599"/>
    <w:rsid w:val="00C807F2"/>
    <w:rsid w:val="00C80A6C"/>
    <w:rsid w:val="00C80DD9"/>
    <w:rsid w:val="00C80E9C"/>
    <w:rsid w:val="00C90689"/>
    <w:rsid w:val="00C90A07"/>
    <w:rsid w:val="00C912E9"/>
    <w:rsid w:val="00C97790"/>
    <w:rsid w:val="00CA000D"/>
    <w:rsid w:val="00CA189F"/>
    <w:rsid w:val="00CA2FC1"/>
    <w:rsid w:val="00CA3948"/>
    <w:rsid w:val="00CA5214"/>
    <w:rsid w:val="00CA55BD"/>
    <w:rsid w:val="00CA7857"/>
    <w:rsid w:val="00CB4D67"/>
    <w:rsid w:val="00CC029D"/>
    <w:rsid w:val="00CC3096"/>
    <w:rsid w:val="00CE315C"/>
    <w:rsid w:val="00CF3371"/>
    <w:rsid w:val="00CF56EA"/>
    <w:rsid w:val="00CF7476"/>
    <w:rsid w:val="00D00DDB"/>
    <w:rsid w:val="00D027B0"/>
    <w:rsid w:val="00D02D97"/>
    <w:rsid w:val="00D0571C"/>
    <w:rsid w:val="00D10BF5"/>
    <w:rsid w:val="00D1563F"/>
    <w:rsid w:val="00D15DBC"/>
    <w:rsid w:val="00D1654C"/>
    <w:rsid w:val="00D20342"/>
    <w:rsid w:val="00D26EF3"/>
    <w:rsid w:val="00D31263"/>
    <w:rsid w:val="00D34603"/>
    <w:rsid w:val="00D35722"/>
    <w:rsid w:val="00D41406"/>
    <w:rsid w:val="00D41981"/>
    <w:rsid w:val="00D43A93"/>
    <w:rsid w:val="00D43E4D"/>
    <w:rsid w:val="00D463E6"/>
    <w:rsid w:val="00D5273F"/>
    <w:rsid w:val="00D56434"/>
    <w:rsid w:val="00D566C1"/>
    <w:rsid w:val="00D5717B"/>
    <w:rsid w:val="00D60CC4"/>
    <w:rsid w:val="00D62E03"/>
    <w:rsid w:val="00D63191"/>
    <w:rsid w:val="00D70BF0"/>
    <w:rsid w:val="00D72C91"/>
    <w:rsid w:val="00D739C3"/>
    <w:rsid w:val="00D75216"/>
    <w:rsid w:val="00D75238"/>
    <w:rsid w:val="00D8535E"/>
    <w:rsid w:val="00D86C3E"/>
    <w:rsid w:val="00D86CA9"/>
    <w:rsid w:val="00D879D9"/>
    <w:rsid w:val="00D90430"/>
    <w:rsid w:val="00D90718"/>
    <w:rsid w:val="00DA236D"/>
    <w:rsid w:val="00DA5FC2"/>
    <w:rsid w:val="00DB0EF3"/>
    <w:rsid w:val="00DB1CF8"/>
    <w:rsid w:val="00DB3B2E"/>
    <w:rsid w:val="00DB4278"/>
    <w:rsid w:val="00DB43E4"/>
    <w:rsid w:val="00DB6126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D71B4"/>
    <w:rsid w:val="00DE078D"/>
    <w:rsid w:val="00DE3308"/>
    <w:rsid w:val="00DE523A"/>
    <w:rsid w:val="00DE5895"/>
    <w:rsid w:val="00DF671C"/>
    <w:rsid w:val="00E01A21"/>
    <w:rsid w:val="00E042E2"/>
    <w:rsid w:val="00E11DEA"/>
    <w:rsid w:val="00E148C8"/>
    <w:rsid w:val="00E20E8C"/>
    <w:rsid w:val="00E21ECB"/>
    <w:rsid w:val="00E31AEF"/>
    <w:rsid w:val="00E328C2"/>
    <w:rsid w:val="00E3579B"/>
    <w:rsid w:val="00E40564"/>
    <w:rsid w:val="00E40FE4"/>
    <w:rsid w:val="00E44A83"/>
    <w:rsid w:val="00E47034"/>
    <w:rsid w:val="00E522E2"/>
    <w:rsid w:val="00E61C7F"/>
    <w:rsid w:val="00E65A94"/>
    <w:rsid w:val="00E65B32"/>
    <w:rsid w:val="00E73AC1"/>
    <w:rsid w:val="00E7462C"/>
    <w:rsid w:val="00E74AD0"/>
    <w:rsid w:val="00E75F54"/>
    <w:rsid w:val="00E83658"/>
    <w:rsid w:val="00E8425E"/>
    <w:rsid w:val="00E879BE"/>
    <w:rsid w:val="00E91E5E"/>
    <w:rsid w:val="00E9262E"/>
    <w:rsid w:val="00E9305D"/>
    <w:rsid w:val="00E932BF"/>
    <w:rsid w:val="00E936BD"/>
    <w:rsid w:val="00E94ED6"/>
    <w:rsid w:val="00E95CBE"/>
    <w:rsid w:val="00E97AEF"/>
    <w:rsid w:val="00EA2F46"/>
    <w:rsid w:val="00EB0625"/>
    <w:rsid w:val="00EB07E4"/>
    <w:rsid w:val="00EB2C8D"/>
    <w:rsid w:val="00EB4F72"/>
    <w:rsid w:val="00EC2EF7"/>
    <w:rsid w:val="00EC56BD"/>
    <w:rsid w:val="00EC56D2"/>
    <w:rsid w:val="00EC658B"/>
    <w:rsid w:val="00ED1C11"/>
    <w:rsid w:val="00ED2956"/>
    <w:rsid w:val="00EE07C6"/>
    <w:rsid w:val="00EE5737"/>
    <w:rsid w:val="00EE724A"/>
    <w:rsid w:val="00EF0727"/>
    <w:rsid w:val="00EF0A9A"/>
    <w:rsid w:val="00EF11D1"/>
    <w:rsid w:val="00EF153F"/>
    <w:rsid w:val="00EF1F67"/>
    <w:rsid w:val="00EF789B"/>
    <w:rsid w:val="00F0163C"/>
    <w:rsid w:val="00F152C9"/>
    <w:rsid w:val="00F20966"/>
    <w:rsid w:val="00F22435"/>
    <w:rsid w:val="00F23236"/>
    <w:rsid w:val="00F23859"/>
    <w:rsid w:val="00F26A77"/>
    <w:rsid w:val="00F26D64"/>
    <w:rsid w:val="00F31833"/>
    <w:rsid w:val="00F41661"/>
    <w:rsid w:val="00F46844"/>
    <w:rsid w:val="00F55243"/>
    <w:rsid w:val="00F55353"/>
    <w:rsid w:val="00F55DC2"/>
    <w:rsid w:val="00F56D7D"/>
    <w:rsid w:val="00F57DF2"/>
    <w:rsid w:val="00F63EF9"/>
    <w:rsid w:val="00F66973"/>
    <w:rsid w:val="00F7146E"/>
    <w:rsid w:val="00F73FC3"/>
    <w:rsid w:val="00F834DC"/>
    <w:rsid w:val="00F84CB7"/>
    <w:rsid w:val="00F85BFC"/>
    <w:rsid w:val="00FA0F94"/>
    <w:rsid w:val="00FA1BC8"/>
    <w:rsid w:val="00FA7585"/>
    <w:rsid w:val="00FB151D"/>
    <w:rsid w:val="00FB3912"/>
    <w:rsid w:val="00FB5975"/>
    <w:rsid w:val="00FB78EF"/>
    <w:rsid w:val="00FC0777"/>
    <w:rsid w:val="00FC09C6"/>
    <w:rsid w:val="00FC1015"/>
    <w:rsid w:val="00FC3341"/>
    <w:rsid w:val="00FC43D7"/>
    <w:rsid w:val="00FD0A12"/>
    <w:rsid w:val="00FD1075"/>
    <w:rsid w:val="00FD3544"/>
    <w:rsid w:val="00FD3C93"/>
    <w:rsid w:val="00FD4483"/>
    <w:rsid w:val="00FD72A3"/>
    <w:rsid w:val="00FD7464"/>
    <w:rsid w:val="00FF2D67"/>
    <w:rsid w:val="00FF4A65"/>
    <w:rsid w:val="00FF6D2C"/>
    <w:rsid w:val="044361EA"/>
    <w:rsid w:val="0604E3BB"/>
    <w:rsid w:val="0612C65F"/>
    <w:rsid w:val="0B9D55B3"/>
    <w:rsid w:val="0F0322E7"/>
    <w:rsid w:val="14C87889"/>
    <w:rsid w:val="152FAE39"/>
    <w:rsid w:val="16FCA80E"/>
    <w:rsid w:val="1A69767C"/>
    <w:rsid w:val="21E0A124"/>
    <w:rsid w:val="249202BB"/>
    <w:rsid w:val="299AC38D"/>
    <w:rsid w:val="36601E38"/>
    <w:rsid w:val="5640FDA3"/>
    <w:rsid w:val="60F3A574"/>
    <w:rsid w:val="6184A667"/>
    <w:rsid w:val="71C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1F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txstate.edu/files/204091435/download?download_frd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txstate.edu/files/204002027/download?download_f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ECD6C-D977-43A6-87FC-8D1426BE2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10163</Characters>
  <Application>Microsoft Office Word</Application>
  <DocSecurity>8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2021-10-14T14:22:00Z</dcterms:created>
  <dcterms:modified xsi:type="dcterms:W3CDTF">2021-10-14T14:22:00Z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