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AC8" w:rsidRDefault="00915AC8" w:rsidP="00915AC8">
      <w:pPr>
        <w:rPr>
          <w:rFonts w:ascii="Times New Roman" w:hAnsi="Times New Roman" w:cs="Times New Roman"/>
          <w:sz w:val="24"/>
          <w:szCs w:val="24"/>
        </w:rPr>
      </w:pPr>
    </w:p>
    <w:p w:rsidR="000F68F7" w:rsidRDefault="004F7301" w:rsidP="00915AC8">
      <w:pPr>
        <w:rPr>
          <w:rFonts w:ascii="Times New Roman" w:hAnsi="Times New Roman" w:cs="Times New Roman"/>
          <w:b/>
          <w:sz w:val="24"/>
          <w:szCs w:val="24"/>
        </w:rPr>
      </w:pPr>
      <w:r>
        <w:rPr>
          <w:rFonts w:ascii="Times New Roman" w:hAnsi="Times New Roman" w:cs="Times New Roman"/>
          <w:b/>
          <w:sz w:val="24"/>
          <w:szCs w:val="24"/>
        </w:rPr>
        <w:t>2012 NCE Summary Results:</w:t>
      </w:r>
    </w:p>
    <w:p w:rsidR="004F7301" w:rsidRDefault="004F7301" w:rsidP="00915AC8">
      <w:pPr>
        <w:rPr>
          <w:rFonts w:ascii="Times New Roman" w:hAnsi="Times New Roman" w:cs="Times New Roman"/>
          <w:sz w:val="24"/>
          <w:szCs w:val="24"/>
        </w:rPr>
      </w:pPr>
      <w:r>
        <w:rPr>
          <w:rFonts w:ascii="Times New Roman" w:hAnsi="Times New Roman" w:cs="Times New Roman"/>
          <w:sz w:val="24"/>
          <w:szCs w:val="24"/>
        </w:rPr>
        <w:t xml:space="preserve">For the two administrations, Texas State University has 37 students take the exam with 36 passing the test. Even more impressive, the mean scores for Texas State students was better than the national sample and the CACREP program sample on EVERY subscale covered on the exam. </w:t>
      </w:r>
    </w:p>
    <w:p w:rsidR="004F7301" w:rsidRDefault="00A34810" w:rsidP="00915AC8">
      <w:pPr>
        <w:rPr>
          <w:rFonts w:ascii="Times New Roman" w:hAnsi="Times New Roman" w:cs="Times New Roman"/>
          <w:sz w:val="24"/>
          <w:szCs w:val="24"/>
        </w:rPr>
      </w:pPr>
      <w:r>
        <w:rPr>
          <w:rFonts w:ascii="Times New Roman" w:hAnsi="Times New Roman" w:cs="Times New Roman"/>
          <w:sz w:val="24"/>
          <w:szCs w:val="24"/>
        </w:rPr>
        <w:t>Spring 2012 Results</w:t>
      </w:r>
    </w:p>
    <w:p w:rsidR="004F7301" w:rsidRDefault="004F7301" w:rsidP="00915AC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10225" cy="57150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F7301" w:rsidRDefault="004F7301" w:rsidP="00915AC8">
      <w:pPr>
        <w:rPr>
          <w:rFonts w:ascii="Times New Roman" w:hAnsi="Times New Roman" w:cs="Times New Roman"/>
          <w:sz w:val="24"/>
          <w:szCs w:val="24"/>
        </w:rPr>
      </w:pPr>
    </w:p>
    <w:p w:rsidR="00A34810" w:rsidRDefault="00A34810" w:rsidP="00915AC8">
      <w:pPr>
        <w:rPr>
          <w:rFonts w:ascii="Times New Roman" w:hAnsi="Times New Roman" w:cs="Times New Roman"/>
          <w:sz w:val="24"/>
          <w:szCs w:val="24"/>
        </w:rPr>
      </w:pPr>
      <w:r>
        <w:rPr>
          <w:rFonts w:ascii="Times New Roman" w:hAnsi="Times New Roman" w:cs="Times New Roman"/>
          <w:sz w:val="24"/>
          <w:szCs w:val="24"/>
        </w:rPr>
        <w:lastRenderedPageBreak/>
        <w:t>Fall 2012 Results</w:t>
      </w:r>
    </w:p>
    <w:p w:rsidR="004F7301" w:rsidRDefault="00A34810" w:rsidP="00915AC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135C0F" wp14:editId="48BF93D3">
            <wp:extent cx="5610225" cy="57150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7301" w:rsidRDefault="004F7301" w:rsidP="00915AC8">
      <w:pPr>
        <w:rPr>
          <w:rFonts w:ascii="Times New Roman" w:hAnsi="Times New Roman" w:cs="Times New Roman"/>
          <w:sz w:val="24"/>
          <w:szCs w:val="24"/>
        </w:rPr>
      </w:pPr>
    </w:p>
    <w:p w:rsidR="004F7301" w:rsidRDefault="004F7301" w:rsidP="00915AC8">
      <w:pPr>
        <w:rPr>
          <w:rFonts w:ascii="Times New Roman" w:hAnsi="Times New Roman" w:cs="Times New Roman"/>
          <w:sz w:val="24"/>
          <w:szCs w:val="24"/>
        </w:rPr>
      </w:pPr>
    </w:p>
    <w:p w:rsidR="004F7301" w:rsidRDefault="004F7301" w:rsidP="00915AC8">
      <w:pPr>
        <w:rPr>
          <w:rFonts w:ascii="Times New Roman" w:hAnsi="Times New Roman" w:cs="Times New Roman"/>
          <w:sz w:val="24"/>
          <w:szCs w:val="24"/>
        </w:rPr>
      </w:pPr>
    </w:p>
    <w:p w:rsidR="004F7301" w:rsidRDefault="004F7301" w:rsidP="00915AC8">
      <w:pPr>
        <w:rPr>
          <w:rFonts w:ascii="Times New Roman" w:hAnsi="Times New Roman" w:cs="Times New Roman"/>
          <w:sz w:val="24"/>
          <w:szCs w:val="24"/>
        </w:rPr>
      </w:pPr>
    </w:p>
    <w:p w:rsidR="004F7301" w:rsidRDefault="004F7301" w:rsidP="00915AC8">
      <w:pPr>
        <w:rPr>
          <w:rFonts w:ascii="Times New Roman" w:hAnsi="Times New Roman" w:cs="Times New Roman"/>
          <w:sz w:val="24"/>
          <w:szCs w:val="24"/>
        </w:rPr>
      </w:pPr>
    </w:p>
    <w:p w:rsidR="00A34810" w:rsidRDefault="00A34810" w:rsidP="00915AC8">
      <w:pPr>
        <w:rPr>
          <w:rFonts w:ascii="Times New Roman" w:hAnsi="Times New Roman" w:cs="Times New Roman"/>
          <w:sz w:val="24"/>
          <w:szCs w:val="24"/>
        </w:rPr>
      </w:pPr>
    </w:p>
    <w:p w:rsidR="004F7301" w:rsidRDefault="004F7301" w:rsidP="00915AC8">
      <w:pPr>
        <w:rPr>
          <w:rFonts w:ascii="Times New Roman" w:hAnsi="Times New Roman" w:cs="Times New Roman"/>
          <w:b/>
          <w:sz w:val="24"/>
          <w:szCs w:val="24"/>
        </w:rPr>
      </w:pPr>
      <w:r>
        <w:rPr>
          <w:rFonts w:ascii="Times New Roman" w:hAnsi="Times New Roman" w:cs="Times New Roman"/>
          <w:b/>
          <w:sz w:val="24"/>
          <w:szCs w:val="24"/>
        </w:rPr>
        <w:lastRenderedPageBreak/>
        <w:t>2013 NCE Summary Results:</w:t>
      </w:r>
    </w:p>
    <w:p w:rsidR="004F7301" w:rsidRDefault="004F7301" w:rsidP="004F7301">
      <w:pPr>
        <w:rPr>
          <w:rFonts w:ascii="Times New Roman" w:hAnsi="Times New Roman" w:cs="Times New Roman"/>
          <w:sz w:val="24"/>
          <w:szCs w:val="24"/>
        </w:rPr>
      </w:pPr>
      <w:r>
        <w:rPr>
          <w:rFonts w:ascii="Times New Roman" w:hAnsi="Times New Roman" w:cs="Times New Roman"/>
          <w:sz w:val="24"/>
          <w:szCs w:val="24"/>
        </w:rPr>
        <w:t xml:space="preserve">For the two administrations, Texas State University has 38 students take the exam with 37 passing the test. Even more impressive, the mean scores for Texas State students was better than the national sample and the CACREP program sample on EVERY subscale covered on the exam. </w:t>
      </w:r>
    </w:p>
    <w:p w:rsidR="00A34810" w:rsidRDefault="00A34810" w:rsidP="004F7301">
      <w:pPr>
        <w:rPr>
          <w:rFonts w:ascii="Times New Roman" w:hAnsi="Times New Roman" w:cs="Times New Roman"/>
          <w:sz w:val="24"/>
          <w:szCs w:val="24"/>
        </w:rPr>
      </w:pPr>
      <w:r>
        <w:rPr>
          <w:rFonts w:ascii="Times New Roman" w:hAnsi="Times New Roman" w:cs="Times New Roman"/>
          <w:sz w:val="24"/>
          <w:szCs w:val="24"/>
        </w:rPr>
        <w:t>Spring 2013 Results</w:t>
      </w:r>
    </w:p>
    <w:p w:rsidR="00A34810" w:rsidRDefault="00A34810" w:rsidP="004F730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135C0F" wp14:editId="48BF93D3">
            <wp:extent cx="5610225" cy="57150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7301" w:rsidRDefault="004F7301" w:rsidP="00915AC8">
      <w:pPr>
        <w:rPr>
          <w:rFonts w:ascii="Times New Roman" w:hAnsi="Times New Roman" w:cs="Times New Roman"/>
          <w:b/>
          <w:sz w:val="24"/>
          <w:szCs w:val="24"/>
        </w:rPr>
      </w:pPr>
    </w:p>
    <w:p w:rsidR="00A34810" w:rsidRDefault="00A34810" w:rsidP="00915AC8">
      <w:pPr>
        <w:rPr>
          <w:rFonts w:ascii="Times New Roman" w:hAnsi="Times New Roman" w:cs="Times New Roman"/>
          <w:b/>
          <w:sz w:val="24"/>
          <w:szCs w:val="24"/>
        </w:rPr>
      </w:pPr>
    </w:p>
    <w:p w:rsidR="00A34810" w:rsidRDefault="00A34810" w:rsidP="00915AC8">
      <w:pPr>
        <w:rPr>
          <w:rFonts w:ascii="Times New Roman" w:hAnsi="Times New Roman" w:cs="Times New Roman"/>
          <w:b/>
          <w:sz w:val="24"/>
          <w:szCs w:val="24"/>
        </w:rPr>
      </w:pPr>
      <w:r>
        <w:rPr>
          <w:rFonts w:ascii="Times New Roman" w:hAnsi="Times New Roman" w:cs="Times New Roman"/>
          <w:b/>
          <w:sz w:val="24"/>
          <w:szCs w:val="24"/>
        </w:rPr>
        <w:lastRenderedPageBreak/>
        <w:t>Fall 2013 Results</w:t>
      </w:r>
    </w:p>
    <w:p w:rsidR="00A34810" w:rsidRDefault="00A34810" w:rsidP="00915AC8">
      <w:pP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73135C0F" wp14:editId="48BF93D3">
            <wp:extent cx="5610225" cy="57150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32B8" w:rsidRDefault="003932B8" w:rsidP="00915AC8">
      <w:pPr>
        <w:rPr>
          <w:rFonts w:ascii="Times New Roman" w:hAnsi="Times New Roman" w:cs="Times New Roman"/>
          <w:b/>
          <w:sz w:val="24"/>
          <w:szCs w:val="24"/>
        </w:rPr>
      </w:pPr>
    </w:p>
    <w:p w:rsidR="003932B8" w:rsidRDefault="003932B8" w:rsidP="00915AC8">
      <w:pPr>
        <w:rPr>
          <w:rFonts w:ascii="Times New Roman" w:hAnsi="Times New Roman" w:cs="Times New Roman"/>
          <w:b/>
          <w:sz w:val="24"/>
          <w:szCs w:val="24"/>
        </w:rPr>
      </w:pPr>
    </w:p>
    <w:p w:rsidR="003932B8" w:rsidRDefault="003932B8" w:rsidP="00915AC8">
      <w:pPr>
        <w:rPr>
          <w:rFonts w:ascii="Times New Roman" w:hAnsi="Times New Roman" w:cs="Times New Roman"/>
          <w:b/>
          <w:sz w:val="24"/>
          <w:szCs w:val="24"/>
        </w:rPr>
      </w:pPr>
    </w:p>
    <w:p w:rsidR="003932B8" w:rsidRDefault="003932B8" w:rsidP="00915AC8">
      <w:pPr>
        <w:rPr>
          <w:rFonts w:ascii="Times New Roman" w:hAnsi="Times New Roman" w:cs="Times New Roman"/>
          <w:b/>
          <w:sz w:val="24"/>
          <w:szCs w:val="24"/>
        </w:rPr>
      </w:pPr>
    </w:p>
    <w:p w:rsidR="003932B8" w:rsidRDefault="003932B8" w:rsidP="00915AC8">
      <w:pPr>
        <w:rPr>
          <w:rFonts w:ascii="Times New Roman" w:hAnsi="Times New Roman" w:cs="Times New Roman"/>
          <w:b/>
          <w:sz w:val="24"/>
          <w:szCs w:val="24"/>
        </w:rPr>
      </w:pPr>
    </w:p>
    <w:p w:rsidR="003932B8" w:rsidRDefault="003932B8" w:rsidP="00915AC8">
      <w:pPr>
        <w:rPr>
          <w:rFonts w:ascii="Times New Roman" w:hAnsi="Times New Roman" w:cs="Times New Roman"/>
          <w:b/>
          <w:sz w:val="24"/>
          <w:szCs w:val="24"/>
        </w:rPr>
      </w:pPr>
    </w:p>
    <w:p w:rsidR="003932B8" w:rsidRDefault="003932B8" w:rsidP="003932B8">
      <w:pPr>
        <w:rPr>
          <w:rFonts w:ascii="Times New Roman" w:hAnsi="Times New Roman" w:cs="Times New Roman"/>
          <w:b/>
          <w:sz w:val="24"/>
          <w:szCs w:val="24"/>
        </w:rPr>
      </w:pPr>
      <w:r>
        <w:rPr>
          <w:rFonts w:ascii="Times New Roman" w:hAnsi="Times New Roman" w:cs="Times New Roman"/>
          <w:b/>
          <w:sz w:val="24"/>
          <w:szCs w:val="24"/>
        </w:rPr>
        <w:lastRenderedPageBreak/>
        <w:t>2014</w:t>
      </w:r>
      <w:r>
        <w:rPr>
          <w:rFonts w:ascii="Times New Roman" w:hAnsi="Times New Roman" w:cs="Times New Roman"/>
          <w:b/>
          <w:sz w:val="24"/>
          <w:szCs w:val="24"/>
        </w:rPr>
        <w:t xml:space="preserve"> NCE Summary Results:</w:t>
      </w:r>
    </w:p>
    <w:p w:rsidR="003932B8" w:rsidRDefault="00AD7293" w:rsidP="003932B8">
      <w:pPr>
        <w:rPr>
          <w:rFonts w:ascii="Times New Roman" w:hAnsi="Times New Roman" w:cs="Times New Roman"/>
          <w:sz w:val="24"/>
          <w:szCs w:val="24"/>
        </w:rPr>
      </w:pPr>
      <w:r>
        <w:rPr>
          <w:rFonts w:ascii="Times New Roman" w:hAnsi="Times New Roman" w:cs="Times New Roman"/>
          <w:sz w:val="24"/>
          <w:szCs w:val="24"/>
        </w:rPr>
        <w:t xml:space="preserve">For the two </w:t>
      </w:r>
      <w:r w:rsidR="003932B8">
        <w:rPr>
          <w:rFonts w:ascii="Times New Roman" w:hAnsi="Times New Roman" w:cs="Times New Roman"/>
          <w:sz w:val="24"/>
          <w:szCs w:val="24"/>
        </w:rPr>
        <w:t>administration</w:t>
      </w:r>
      <w:r>
        <w:rPr>
          <w:rFonts w:ascii="Times New Roman" w:hAnsi="Times New Roman" w:cs="Times New Roman"/>
          <w:sz w:val="24"/>
          <w:szCs w:val="24"/>
        </w:rPr>
        <w:t xml:space="preserve">s, Texas State University has 40 students take the exam with 40 </w:t>
      </w:r>
      <w:r w:rsidR="003932B8">
        <w:rPr>
          <w:rFonts w:ascii="Times New Roman" w:hAnsi="Times New Roman" w:cs="Times New Roman"/>
          <w:sz w:val="24"/>
          <w:szCs w:val="24"/>
        </w:rPr>
        <w:t xml:space="preserve">passing the test. Even more impressive, the mean scores for Texas State students was better than the national sample and the CACREP program sample on EVERY subscale covered on the exam. </w:t>
      </w:r>
    </w:p>
    <w:p w:rsidR="003932B8" w:rsidRDefault="003932B8" w:rsidP="003932B8">
      <w:pPr>
        <w:rPr>
          <w:rFonts w:ascii="Times New Roman" w:hAnsi="Times New Roman" w:cs="Times New Roman"/>
          <w:sz w:val="24"/>
          <w:szCs w:val="24"/>
        </w:rPr>
      </w:pPr>
      <w:r>
        <w:rPr>
          <w:rFonts w:ascii="Times New Roman" w:hAnsi="Times New Roman" w:cs="Times New Roman"/>
          <w:sz w:val="24"/>
          <w:szCs w:val="24"/>
        </w:rPr>
        <w:t>Spring 2014</w:t>
      </w:r>
      <w:r>
        <w:rPr>
          <w:rFonts w:ascii="Times New Roman" w:hAnsi="Times New Roman" w:cs="Times New Roman"/>
          <w:sz w:val="24"/>
          <w:szCs w:val="24"/>
        </w:rPr>
        <w:t xml:space="preserve"> Results</w:t>
      </w:r>
    </w:p>
    <w:p w:rsidR="003932B8" w:rsidRDefault="003932B8" w:rsidP="003932B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AA6A5C" wp14:editId="33BF2FAD">
            <wp:extent cx="5610225" cy="57150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7293" w:rsidRDefault="00AD7293" w:rsidP="003932B8">
      <w:pPr>
        <w:rPr>
          <w:rFonts w:ascii="Times New Roman" w:hAnsi="Times New Roman" w:cs="Times New Roman"/>
          <w:sz w:val="24"/>
          <w:szCs w:val="24"/>
        </w:rPr>
      </w:pPr>
    </w:p>
    <w:p w:rsidR="00AD7293" w:rsidRDefault="00AD7293" w:rsidP="003932B8">
      <w:pPr>
        <w:rPr>
          <w:rFonts w:ascii="Times New Roman" w:hAnsi="Times New Roman" w:cs="Times New Roman"/>
          <w:sz w:val="24"/>
          <w:szCs w:val="24"/>
        </w:rPr>
      </w:pPr>
    </w:p>
    <w:p w:rsidR="00AD7293" w:rsidRDefault="00AD7293" w:rsidP="00AD7293">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D7293" w:rsidRDefault="00AD7293" w:rsidP="00AD7293">
      <w:pPr>
        <w:rPr>
          <w:rFonts w:ascii="Times New Roman" w:hAnsi="Times New Roman" w:cs="Times New Roman"/>
          <w:sz w:val="24"/>
          <w:szCs w:val="24"/>
        </w:rPr>
      </w:pPr>
      <w:r>
        <w:rPr>
          <w:rFonts w:ascii="Times New Roman" w:hAnsi="Times New Roman" w:cs="Times New Roman"/>
          <w:sz w:val="24"/>
          <w:szCs w:val="24"/>
        </w:rPr>
        <w:t>Fall 2014</w:t>
      </w:r>
      <w:r>
        <w:rPr>
          <w:rFonts w:ascii="Times New Roman" w:hAnsi="Times New Roman" w:cs="Times New Roman"/>
          <w:sz w:val="24"/>
          <w:szCs w:val="24"/>
        </w:rPr>
        <w:t xml:space="preserve"> Results</w:t>
      </w:r>
    </w:p>
    <w:p w:rsidR="00AD7293" w:rsidRDefault="00AD7293" w:rsidP="00AD729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AA6A5C" wp14:editId="33BF2FAD">
            <wp:extent cx="5610225" cy="57150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rsidR="00AD7293" w:rsidRDefault="00AD7293" w:rsidP="003932B8">
      <w:pPr>
        <w:rPr>
          <w:rFonts w:ascii="Times New Roman" w:hAnsi="Times New Roman" w:cs="Times New Roman"/>
          <w:sz w:val="24"/>
          <w:szCs w:val="24"/>
        </w:rPr>
      </w:pPr>
    </w:p>
    <w:p w:rsidR="003932B8" w:rsidRPr="004F7301" w:rsidRDefault="003932B8" w:rsidP="00915AC8">
      <w:pPr>
        <w:rPr>
          <w:rFonts w:ascii="Times New Roman" w:hAnsi="Times New Roman" w:cs="Times New Roman"/>
          <w:b/>
          <w:sz w:val="24"/>
          <w:szCs w:val="24"/>
        </w:rPr>
      </w:pPr>
    </w:p>
    <w:sectPr w:rsidR="003932B8" w:rsidRPr="004F7301" w:rsidSect="00AC68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BD7" w:rsidRDefault="00BE1BD7" w:rsidP="00175A8F">
      <w:pPr>
        <w:spacing w:after="0" w:line="240" w:lineRule="auto"/>
      </w:pPr>
      <w:r>
        <w:separator/>
      </w:r>
    </w:p>
  </w:endnote>
  <w:endnote w:type="continuationSeparator" w:id="0">
    <w:p w:rsidR="00BE1BD7" w:rsidRDefault="00BE1BD7" w:rsidP="0017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BD7" w:rsidRDefault="00BE1BD7" w:rsidP="00175A8F">
      <w:pPr>
        <w:spacing w:after="0" w:line="240" w:lineRule="auto"/>
      </w:pPr>
      <w:r>
        <w:separator/>
      </w:r>
    </w:p>
  </w:footnote>
  <w:footnote w:type="continuationSeparator" w:id="0">
    <w:p w:rsidR="00BE1BD7" w:rsidRDefault="00BE1BD7" w:rsidP="00175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0DB6"/>
    <w:multiLevelType w:val="hybridMultilevel"/>
    <w:tmpl w:val="F4089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72856"/>
    <w:multiLevelType w:val="hybridMultilevel"/>
    <w:tmpl w:val="B94898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B20A6C"/>
    <w:multiLevelType w:val="hybridMultilevel"/>
    <w:tmpl w:val="90BE5E5E"/>
    <w:lvl w:ilvl="0" w:tplc="B7F85036">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F2115"/>
    <w:multiLevelType w:val="hybridMultilevel"/>
    <w:tmpl w:val="9CAC1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03147"/>
    <w:multiLevelType w:val="hybridMultilevel"/>
    <w:tmpl w:val="69185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C9"/>
    <w:rsid w:val="000130FD"/>
    <w:rsid w:val="00047EF1"/>
    <w:rsid w:val="0005778D"/>
    <w:rsid w:val="000C06A0"/>
    <w:rsid w:val="000F68F7"/>
    <w:rsid w:val="00126057"/>
    <w:rsid w:val="00155913"/>
    <w:rsid w:val="00175A8F"/>
    <w:rsid w:val="00195147"/>
    <w:rsid w:val="001F033C"/>
    <w:rsid w:val="001F511F"/>
    <w:rsid w:val="00201E25"/>
    <w:rsid w:val="00251A82"/>
    <w:rsid w:val="002839C9"/>
    <w:rsid w:val="003137F5"/>
    <w:rsid w:val="003203AC"/>
    <w:rsid w:val="003932B8"/>
    <w:rsid w:val="004A7F41"/>
    <w:rsid w:val="004F7301"/>
    <w:rsid w:val="005E3108"/>
    <w:rsid w:val="00681C56"/>
    <w:rsid w:val="00745C4D"/>
    <w:rsid w:val="00785FD0"/>
    <w:rsid w:val="007A7DF4"/>
    <w:rsid w:val="00834888"/>
    <w:rsid w:val="008A43D9"/>
    <w:rsid w:val="008E0564"/>
    <w:rsid w:val="00915AC8"/>
    <w:rsid w:val="009B3584"/>
    <w:rsid w:val="009E26E6"/>
    <w:rsid w:val="00A053AA"/>
    <w:rsid w:val="00A34810"/>
    <w:rsid w:val="00AC685F"/>
    <w:rsid w:val="00AD7293"/>
    <w:rsid w:val="00B34CC9"/>
    <w:rsid w:val="00B7101D"/>
    <w:rsid w:val="00BC2FF7"/>
    <w:rsid w:val="00BE1BD7"/>
    <w:rsid w:val="00C43147"/>
    <w:rsid w:val="00C872F9"/>
    <w:rsid w:val="00DF1C2B"/>
    <w:rsid w:val="00F37257"/>
    <w:rsid w:val="00F47B09"/>
    <w:rsid w:val="00F67EED"/>
    <w:rsid w:val="00F8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BB24B-CADA-4FA4-BD1B-6A1EF582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C685F"/>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AC685F"/>
    <w:rPr>
      <w:rFonts w:ascii="Consolas" w:hAnsi="Consolas"/>
      <w:sz w:val="21"/>
      <w:szCs w:val="21"/>
      <w:lang w:val="en-GB"/>
    </w:rPr>
  </w:style>
  <w:style w:type="paragraph" w:customStyle="1" w:styleId="Extract">
    <w:name w:val="Extract"/>
    <w:basedOn w:val="PlainText"/>
    <w:link w:val="ExtractChar"/>
    <w:qFormat/>
    <w:rsid w:val="00AC685F"/>
    <w:pPr>
      <w:spacing w:line="480" w:lineRule="auto"/>
      <w:ind w:left="720"/>
    </w:pPr>
    <w:rPr>
      <w:rFonts w:ascii="Times New Roman" w:hAnsi="Times New Roman" w:cs="Times New Roman"/>
      <w:sz w:val="24"/>
      <w:szCs w:val="24"/>
    </w:rPr>
  </w:style>
  <w:style w:type="paragraph" w:customStyle="1" w:styleId="Indentedpara">
    <w:name w:val="Indented para"/>
    <w:basedOn w:val="PlainText"/>
    <w:link w:val="IndentedparaChar"/>
    <w:qFormat/>
    <w:rsid w:val="00AC685F"/>
    <w:pPr>
      <w:spacing w:line="480" w:lineRule="auto"/>
      <w:ind w:firstLine="720"/>
    </w:pPr>
    <w:rPr>
      <w:rFonts w:ascii="Times New Roman" w:hAnsi="Times New Roman" w:cs="Times New Roman"/>
      <w:sz w:val="24"/>
      <w:szCs w:val="24"/>
    </w:rPr>
  </w:style>
  <w:style w:type="character" w:customStyle="1" w:styleId="ExtractChar">
    <w:name w:val="Extract Char"/>
    <w:basedOn w:val="PlainTextChar"/>
    <w:link w:val="Extract"/>
    <w:rsid w:val="00AC685F"/>
    <w:rPr>
      <w:rFonts w:ascii="Times New Roman" w:hAnsi="Times New Roman" w:cs="Times New Roman"/>
      <w:sz w:val="24"/>
      <w:szCs w:val="24"/>
      <w:lang w:val="en-GB"/>
    </w:rPr>
  </w:style>
  <w:style w:type="character" w:customStyle="1" w:styleId="IndentedparaChar">
    <w:name w:val="Indented para Char"/>
    <w:basedOn w:val="PlainTextChar"/>
    <w:link w:val="Indentedpara"/>
    <w:rsid w:val="00AC685F"/>
    <w:rPr>
      <w:rFonts w:ascii="Times New Roman" w:hAnsi="Times New Roman" w:cs="Times New Roman"/>
      <w:sz w:val="24"/>
      <w:szCs w:val="24"/>
      <w:lang w:val="en-GB"/>
    </w:rPr>
  </w:style>
  <w:style w:type="paragraph" w:customStyle="1" w:styleId="FullOut">
    <w:name w:val="FullOut"/>
    <w:basedOn w:val="PlainText"/>
    <w:link w:val="FullOutChar"/>
    <w:qFormat/>
    <w:rsid w:val="00AC685F"/>
    <w:pPr>
      <w:spacing w:line="480" w:lineRule="auto"/>
    </w:pPr>
    <w:rPr>
      <w:rFonts w:ascii="Times New Roman" w:hAnsi="Times New Roman" w:cs="Times New Roman"/>
      <w:sz w:val="24"/>
      <w:szCs w:val="24"/>
    </w:rPr>
  </w:style>
  <w:style w:type="paragraph" w:customStyle="1" w:styleId="Refs">
    <w:name w:val="Refs"/>
    <w:basedOn w:val="PlainText"/>
    <w:link w:val="RefsChar"/>
    <w:qFormat/>
    <w:rsid w:val="00AC685F"/>
    <w:pPr>
      <w:spacing w:line="480" w:lineRule="auto"/>
      <w:ind w:left="720" w:hanging="720"/>
    </w:pPr>
    <w:rPr>
      <w:rFonts w:ascii="Times New Roman" w:hAnsi="Times New Roman" w:cs="Times New Roman"/>
      <w:sz w:val="24"/>
      <w:szCs w:val="24"/>
    </w:rPr>
  </w:style>
  <w:style w:type="character" w:customStyle="1" w:styleId="FullOutChar">
    <w:name w:val="FullOut Char"/>
    <w:basedOn w:val="PlainTextChar"/>
    <w:link w:val="FullOut"/>
    <w:rsid w:val="00AC685F"/>
    <w:rPr>
      <w:rFonts w:ascii="Times New Roman" w:hAnsi="Times New Roman" w:cs="Times New Roman"/>
      <w:sz w:val="24"/>
      <w:szCs w:val="24"/>
      <w:lang w:val="en-GB"/>
    </w:rPr>
  </w:style>
  <w:style w:type="character" w:customStyle="1" w:styleId="RefsChar">
    <w:name w:val="Refs Char"/>
    <w:basedOn w:val="PlainTextChar"/>
    <w:link w:val="Refs"/>
    <w:rsid w:val="00AC685F"/>
    <w:rPr>
      <w:rFonts w:ascii="Times New Roman" w:hAnsi="Times New Roman" w:cs="Times New Roman"/>
      <w:sz w:val="24"/>
      <w:szCs w:val="24"/>
      <w:lang w:val="en-GB"/>
    </w:rPr>
  </w:style>
  <w:style w:type="paragraph" w:customStyle="1" w:styleId="BulletedList">
    <w:name w:val="BulletedList"/>
    <w:basedOn w:val="PlainText"/>
    <w:link w:val="BulletedListChar"/>
    <w:qFormat/>
    <w:rsid w:val="00AC685F"/>
    <w:pPr>
      <w:numPr>
        <w:numId w:val="1"/>
      </w:numPr>
      <w:spacing w:line="480" w:lineRule="auto"/>
    </w:pPr>
    <w:rPr>
      <w:rFonts w:ascii="Times New Roman" w:hAnsi="Times New Roman" w:cs="Times New Roman"/>
      <w:sz w:val="24"/>
      <w:szCs w:val="24"/>
    </w:rPr>
  </w:style>
  <w:style w:type="character" w:customStyle="1" w:styleId="BulletedListChar">
    <w:name w:val="BulletedList Char"/>
    <w:basedOn w:val="PlainTextChar"/>
    <w:link w:val="BulletedList"/>
    <w:rsid w:val="00AC685F"/>
    <w:rPr>
      <w:rFonts w:ascii="Times New Roman" w:hAnsi="Times New Roman" w:cs="Times New Roman"/>
      <w:sz w:val="24"/>
      <w:szCs w:val="24"/>
      <w:lang w:val="en-GB"/>
    </w:rPr>
  </w:style>
  <w:style w:type="paragraph" w:customStyle="1" w:styleId="NumberList">
    <w:name w:val="NumberList"/>
    <w:basedOn w:val="PlainText"/>
    <w:link w:val="NumberListChar"/>
    <w:qFormat/>
    <w:rsid w:val="00AC685F"/>
    <w:pPr>
      <w:spacing w:line="480" w:lineRule="auto"/>
    </w:pPr>
    <w:rPr>
      <w:rFonts w:ascii="Times New Roman" w:hAnsi="Times New Roman" w:cs="Times New Roman"/>
      <w:sz w:val="24"/>
      <w:szCs w:val="24"/>
    </w:rPr>
  </w:style>
  <w:style w:type="character" w:customStyle="1" w:styleId="NumberListChar">
    <w:name w:val="NumberList Char"/>
    <w:basedOn w:val="PlainTextChar"/>
    <w:link w:val="NumberList"/>
    <w:rsid w:val="00AC685F"/>
    <w:rPr>
      <w:rFonts w:ascii="Times New Roman" w:hAnsi="Times New Roman" w:cs="Times New Roman"/>
      <w:sz w:val="24"/>
      <w:szCs w:val="24"/>
      <w:lang w:val="en-GB"/>
    </w:rPr>
  </w:style>
  <w:style w:type="paragraph" w:styleId="ListParagraph">
    <w:name w:val="List Paragraph"/>
    <w:basedOn w:val="Normal"/>
    <w:uiPriority w:val="34"/>
    <w:qFormat/>
    <w:rsid w:val="00B34CC9"/>
    <w:pPr>
      <w:ind w:left="720"/>
      <w:contextualSpacing/>
    </w:pPr>
  </w:style>
  <w:style w:type="paragraph" w:styleId="BalloonText">
    <w:name w:val="Balloon Text"/>
    <w:basedOn w:val="Normal"/>
    <w:link w:val="BalloonTextChar"/>
    <w:uiPriority w:val="99"/>
    <w:semiHidden/>
    <w:unhideWhenUsed/>
    <w:rsid w:val="004F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Texas State</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Sheet1!$B$2:$B$9</c:f>
              <c:numCache>
                <c:formatCode>General</c:formatCode>
                <c:ptCount val="8"/>
                <c:pt idx="0">
                  <c:v>8.67</c:v>
                </c:pt>
                <c:pt idx="1">
                  <c:v>7.86</c:v>
                </c:pt>
                <c:pt idx="2">
                  <c:v>28.38</c:v>
                </c:pt>
                <c:pt idx="3">
                  <c:v>12.57</c:v>
                </c:pt>
                <c:pt idx="4">
                  <c:v>15.1</c:v>
                </c:pt>
                <c:pt idx="5">
                  <c:v>14.86</c:v>
                </c:pt>
                <c:pt idx="6">
                  <c:v>10.67</c:v>
                </c:pt>
                <c:pt idx="7">
                  <c:v>23.38</c:v>
                </c:pt>
              </c:numCache>
            </c:numRef>
          </c:val>
          <c:smooth val="0"/>
        </c:ser>
        <c:ser>
          <c:idx val="1"/>
          <c:order val="1"/>
          <c:tx>
            <c:strRef>
              <c:f>Sheet1!$C$1</c:f>
              <c:strCache>
                <c:ptCount val="1"/>
                <c:pt idx="0">
                  <c:v>National</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Sheet1!$C$2:$C$9</c:f>
              <c:numCache>
                <c:formatCode>General</c:formatCode>
                <c:ptCount val="8"/>
                <c:pt idx="0">
                  <c:v>6.26</c:v>
                </c:pt>
                <c:pt idx="1">
                  <c:v>6.04</c:v>
                </c:pt>
                <c:pt idx="2">
                  <c:v>21.6</c:v>
                </c:pt>
                <c:pt idx="3">
                  <c:v>9.64</c:v>
                </c:pt>
                <c:pt idx="4">
                  <c:v>12.81</c:v>
                </c:pt>
                <c:pt idx="5">
                  <c:v>11.25</c:v>
                </c:pt>
                <c:pt idx="6">
                  <c:v>6.99</c:v>
                </c:pt>
                <c:pt idx="7">
                  <c:v>18.43</c:v>
                </c:pt>
              </c:numCache>
            </c:numRef>
          </c:val>
          <c:smooth val="0"/>
        </c:ser>
        <c:ser>
          <c:idx val="2"/>
          <c:order val="2"/>
          <c:tx>
            <c:strRef>
              <c:f>Sheet1!$D$1</c:f>
              <c:strCache>
                <c:ptCount val="1"/>
                <c:pt idx="0">
                  <c:v>CACREP only</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Sheet1!$D$2:$D$9</c:f>
              <c:numCache>
                <c:formatCode>General</c:formatCode>
                <c:ptCount val="8"/>
                <c:pt idx="0">
                  <c:v>7.93</c:v>
                </c:pt>
                <c:pt idx="1">
                  <c:v>7.36</c:v>
                </c:pt>
                <c:pt idx="2">
                  <c:v>26.38</c:v>
                </c:pt>
                <c:pt idx="3">
                  <c:v>11.31</c:v>
                </c:pt>
                <c:pt idx="4">
                  <c:v>14.61</c:v>
                </c:pt>
                <c:pt idx="5">
                  <c:v>13.39</c:v>
                </c:pt>
                <c:pt idx="6">
                  <c:v>9.61</c:v>
                </c:pt>
                <c:pt idx="7">
                  <c:v>21.28</c:v>
                </c:pt>
              </c:numCache>
            </c:numRef>
          </c:val>
          <c:smooth val="0"/>
        </c:ser>
        <c:dLbls>
          <c:showLegendKey val="0"/>
          <c:showVal val="0"/>
          <c:showCatName val="0"/>
          <c:showSerName val="0"/>
          <c:showPercent val="0"/>
          <c:showBubbleSize val="0"/>
        </c:dLbls>
        <c:smooth val="0"/>
        <c:axId val="238406040"/>
        <c:axId val="238406432"/>
      </c:lineChart>
      <c:catAx>
        <c:axId val="238406040"/>
        <c:scaling>
          <c:orientation val="minMax"/>
        </c:scaling>
        <c:delete val="0"/>
        <c:axPos val="b"/>
        <c:numFmt formatCode="General" sourceLinked="0"/>
        <c:majorTickMark val="out"/>
        <c:minorTickMark val="none"/>
        <c:tickLblPos val="nextTo"/>
        <c:crossAx val="238406432"/>
        <c:crosses val="autoZero"/>
        <c:auto val="1"/>
        <c:lblAlgn val="ctr"/>
        <c:lblOffset val="100"/>
        <c:noMultiLvlLbl val="0"/>
      </c:catAx>
      <c:valAx>
        <c:axId val="238406432"/>
        <c:scaling>
          <c:orientation val="minMax"/>
          <c:min val="5"/>
        </c:scaling>
        <c:delete val="0"/>
        <c:axPos val="l"/>
        <c:majorGridlines/>
        <c:numFmt formatCode="General" sourceLinked="1"/>
        <c:majorTickMark val="out"/>
        <c:minorTickMark val="none"/>
        <c:tickLblPos val="nextTo"/>
        <c:crossAx val="238406040"/>
        <c:crosses val="autoZero"/>
        <c:crossBetween val="between"/>
        <c:majorUnit val="2"/>
        <c:minorUnit val="0.60000000000000009"/>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Texas State</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Sheet1!$B$2:$B$9</c:f>
              <c:numCache>
                <c:formatCode>General</c:formatCode>
                <c:ptCount val="8"/>
                <c:pt idx="0">
                  <c:v>8.56</c:v>
                </c:pt>
                <c:pt idx="1">
                  <c:v>8.94</c:v>
                </c:pt>
                <c:pt idx="2">
                  <c:v>27.75</c:v>
                </c:pt>
                <c:pt idx="3">
                  <c:v>12.44</c:v>
                </c:pt>
                <c:pt idx="4">
                  <c:v>15.44</c:v>
                </c:pt>
                <c:pt idx="5">
                  <c:v>15.44</c:v>
                </c:pt>
                <c:pt idx="6">
                  <c:v>12.56</c:v>
                </c:pt>
                <c:pt idx="7">
                  <c:v>23.06</c:v>
                </c:pt>
              </c:numCache>
            </c:numRef>
          </c:val>
          <c:smooth val="0"/>
        </c:ser>
        <c:ser>
          <c:idx val="1"/>
          <c:order val="1"/>
          <c:tx>
            <c:strRef>
              <c:f>Sheet1!$C$1</c:f>
              <c:strCache>
                <c:ptCount val="1"/>
                <c:pt idx="0">
                  <c:v>National</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Sheet1!$C$2:$C$9</c:f>
              <c:numCache>
                <c:formatCode>General</c:formatCode>
                <c:ptCount val="8"/>
                <c:pt idx="0">
                  <c:v>6.66</c:v>
                </c:pt>
                <c:pt idx="1">
                  <c:v>7.98</c:v>
                </c:pt>
                <c:pt idx="2">
                  <c:v>22.58</c:v>
                </c:pt>
                <c:pt idx="3">
                  <c:v>9.74</c:v>
                </c:pt>
                <c:pt idx="4">
                  <c:v>11.21</c:v>
                </c:pt>
                <c:pt idx="5">
                  <c:v>12.1</c:v>
                </c:pt>
                <c:pt idx="6">
                  <c:v>9.5299999999999994</c:v>
                </c:pt>
                <c:pt idx="7">
                  <c:v>19.09</c:v>
                </c:pt>
              </c:numCache>
            </c:numRef>
          </c:val>
          <c:smooth val="0"/>
        </c:ser>
        <c:ser>
          <c:idx val="2"/>
          <c:order val="2"/>
          <c:tx>
            <c:strRef>
              <c:f>Sheet1!$D$1</c:f>
              <c:strCache>
                <c:ptCount val="1"/>
                <c:pt idx="0">
                  <c:v>CACREP only</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Sheet1!$D$2:$D$9</c:f>
              <c:numCache>
                <c:formatCode>General</c:formatCode>
                <c:ptCount val="8"/>
                <c:pt idx="0">
                  <c:v>7.56</c:v>
                </c:pt>
                <c:pt idx="1">
                  <c:v>8.6300000000000008</c:v>
                </c:pt>
                <c:pt idx="2">
                  <c:v>25.46</c:v>
                </c:pt>
                <c:pt idx="3">
                  <c:v>10.88</c:v>
                </c:pt>
                <c:pt idx="4">
                  <c:v>12.99</c:v>
                </c:pt>
                <c:pt idx="5">
                  <c:v>13.51</c:v>
                </c:pt>
                <c:pt idx="6">
                  <c:v>10.77</c:v>
                </c:pt>
                <c:pt idx="7">
                  <c:v>20.64</c:v>
                </c:pt>
              </c:numCache>
            </c:numRef>
          </c:val>
          <c:smooth val="0"/>
        </c:ser>
        <c:dLbls>
          <c:showLegendKey val="0"/>
          <c:showVal val="0"/>
          <c:showCatName val="0"/>
          <c:showSerName val="0"/>
          <c:showPercent val="0"/>
          <c:showBubbleSize val="0"/>
        </c:dLbls>
        <c:smooth val="0"/>
        <c:axId val="238407608"/>
        <c:axId val="238408000"/>
      </c:lineChart>
      <c:catAx>
        <c:axId val="238407608"/>
        <c:scaling>
          <c:orientation val="minMax"/>
        </c:scaling>
        <c:delete val="0"/>
        <c:axPos val="b"/>
        <c:numFmt formatCode="General" sourceLinked="0"/>
        <c:majorTickMark val="out"/>
        <c:minorTickMark val="none"/>
        <c:tickLblPos val="nextTo"/>
        <c:crossAx val="238408000"/>
        <c:crosses val="autoZero"/>
        <c:auto val="1"/>
        <c:lblAlgn val="ctr"/>
        <c:lblOffset val="100"/>
        <c:noMultiLvlLbl val="0"/>
      </c:catAx>
      <c:valAx>
        <c:axId val="238408000"/>
        <c:scaling>
          <c:orientation val="minMax"/>
          <c:min val="5"/>
        </c:scaling>
        <c:delete val="0"/>
        <c:axPos val="l"/>
        <c:majorGridlines/>
        <c:numFmt formatCode="General" sourceLinked="1"/>
        <c:majorTickMark val="out"/>
        <c:minorTickMark val="none"/>
        <c:tickLblPos val="nextTo"/>
        <c:crossAx val="238407608"/>
        <c:crosses val="autoZero"/>
        <c:crossBetween val="between"/>
        <c:majorUnit val="2"/>
        <c:minorUnit val="0.60000000000000009"/>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Texas State</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Sheet1!$B$2:$B$9</c:f>
              <c:numCache>
                <c:formatCode>General</c:formatCode>
                <c:ptCount val="8"/>
                <c:pt idx="0">
                  <c:v>9.93</c:v>
                </c:pt>
                <c:pt idx="1">
                  <c:v>8.7899999999999991</c:v>
                </c:pt>
                <c:pt idx="2">
                  <c:v>27.71</c:v>
                </c:pt>
                <c:pt idx="3">
                  <c:v>12.29</c:v>
                </c:pt>
                <c:pt idx="4">
                  <c:v>15.71</c:v>
                </c:pt>
                <c:pt idx="5">
                  <c:v>14.5</c:v>
                </c:pt>
                <c:pt idx="6">
                  <c:v>12.43</c:v>
                </c:pt>
                <c:pt idx="7">
                  <c:v>23.36</c:v>
                </c:pt>
              </c:numCache>
            </c:numRef>
          </c:val>
          <c:smooth val="0"/>
        </c:ser>
        <c:ser>
          <c:idx val="1"/>
          <c:order val="1"/>
          <c:tx>
            <c:strRef>
              <c:f>Sheet1!$C$1</c:f>
              <c:strCache>
                <c:ptCount val="1"/>
                <c:pt idx="0">
                  <c:v>National</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Sheet1!$C$2:$C$9</c:f>
              <c:numCache>
                <c:formatCode>General</c:formatCode>
                <c:ptCount val="8"/>
                <c:pt idx="0">
                  <c:v>7.07</c:v>
                </c:pt>
                <c:pt idx="1">
                  <c:v>6.5</c:v>
                </c:pt>
                <c:pt idx="2">
                  <c:v>21.19</c:v>
                </c:pt>
                <c:pt idx="3">
                  <c:v>10.02</c:v>
                </c:pt>
                <c:pt idx="4">
                  <c:v>12.36</c:v>
                </c:pt>
                <c:pt idx="5">
                  <c:v>11.12</c:v>
                </c:pt>
                <c:pt idx="6">
                  <c:v>9.06</c:v>
                </c:pt>
                <c:pt idx="7">
                  <c:v>19.79</c:v>
                </c:pt>
              </c:numCache>
            </c:numRef>
          </c:val>
          <c:smooth val="0"/>
        </c:ser>
        <c:ser>
          <c:idx val="2"/>
          <c:order val="2"/>
          <c:tx>
            <c:strRef>
              <c:f>Sheet1!$D$1</c:f>
              <c:strCache>
                <c:ptCount val="1"/>
                <c:pt idx="0">
                  <c:v>CACREP only</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Sheet1!$D$2:$D$9</c:f>
              <c:numCache>
                <c:formatCode>General</c:formatCode>
                <c:ptCount val="8"/>
                <c:pt idx="0">
                  <c:v>8.51</c:v>
                </c:pt>
                <c:pt idx="1">
                  <c:v>7.72</c:v>
                </c:pt>
                <c:pt idx="2">
                  <c:v>25.37</c:v>
                </c:pt>
                <c:pt idx="3">
                  <c:v>11.7</c:v>
                </c:pt>
                <c:pt idx="4">
                  <c:v>14.39</c:v>
                </c:pt>
                <c:pt idx="5">
                  <c:v>13.5</c:v>
                </c:pt>
                <c:pt idx="6">
                  <c:v>10.97</c:v>
                </c:pt>
                <c:pt idx="7">
                  <c:v>22.63</c:v>
                </c:pt>
              </c:numCache>
            </c:numRef>
          </c:val>
          <c:smooth val="0"/>
        </c:ser>
        <c:dLbls>
          <c:showLegendKey val="0"/>
          <c:showVal val="0"/>
          <c:showCatName val="0"/>
          <c:showSerName val="0"/>
          <c:showPercent val="0"/>
          <c:showBubbleSize val="0"/>
        </c:dLbls>
        <c:smooth val="0"/>
        <c:axId val="212024712"/>
        <c:axId val="212026280"/>
      </c:lineChart>
      <c:catAx>
        <c:axId val="212024712"/>
        <c:scaling>
          <c:orientation val="minMax"/>
        </c:scaling>
        <c:delete val="0"/>
        <c:axPos val="b"/>
        <c:numFmt formatCode="General" sourceLinked="0"/>
        <c:majorTickMark val="out"/>
        <c:minorTickMark val="none"/>
        <c:tickLblPos val="nextTo"/>
        <c:crossAx val="212026280"/>
        <c:crosses val="autoZero"/>
        <c:auto val="1"/>
        <c:lblAlgn val="ctr"/>
        <c:lblOffset val="100"/>
        <c:noMultiLvlLbl val="0"/>
      </c:catAx>
      <c:valAx>
        <c:axId val="212026280"/>
        <c:scaling>
          <c:orientation val="minMax"/>
          <c:min val="5"/>
        </c:scaling>
        <c:delete val="0"/>
        <c:axPos val="l"/>
        <c:majorGridlines/>
        <c:numFmt formatCode="General" sourceLinked="1"/>
        <c:majorTickMark val="out"/>
        <c:minorTickMark val="none"/>
        <c:tickLblPos val="nextTo"/>
        <c:crossAx val="212024712"/>
        <c:crosses val="autoZero"/>
        <c:crossBetween val="between"/>
        <c:majorUnit val="2"/>
        <c:minorUnit val="0.60000000000000009"/>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Texas State</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Sheet1!$B$2:$B$9</c:f>
              <c:numCache>
                <c:formatCode>General</c:formatCode>
                <c:ptCount val="8"/>
                <c:pt idx="0">
                  <c:v>8.75</c:v>
                </c:pt>
                <c:pt idx="1">
                  <c:v>8.92</c:v>
                </c:pt>
                <c:pt idx="2">
                  <c:v>28.29</c:v>
                </c:pt>
                <c:pt idx="3">
                  <c:v>12.58</c:v>
                </c:pt>
                <c:pt idx="4">
                  <c:v>15.33</c:v>
                </c:pt>
                <c:pt idx="5">
                  <c:v>16.21</c:v>
                </c:pt>
                <c:pt idx="6">
                  <c:v>12.83</c:v>
                </c:pt>
                <c:pt idx="7">
                  <c:v>23.79</c:v>
                </c:pt>
              </c:numCache>
            </c:numRef>
          </c:val>
          <c:smooth val="0"/>
        </c:ser>
        <c:ser>
          <c:idx val="1"/>
          <c:order val="1"/>
          <c:tx>
            <c:strRef>
              <c:f>Sheet1!$C$1</c:f>
              <c:strCache>
                <c:ptCount val="1"/>
                <c:pt idx="0">
                  <c:v>National</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Sheet1!$C$2:$C$9</c:f>
              <c:numCache>
                <c:formatCode>General</c:formatCode>
                <c:ptCount val="8"/>
                <c:pt idx="0">
                  <c:v>6.1</c:v>
                </c:pt>
                <c:pt idx="1">
                  <c:v>6.99</c:v>
                </c:pt>
                <c:pt idx="2">
                  <c:v>21.8</c:v>
                </c:pt>
                <c:pt idx="3">
                  <c:v>10.19</c:v>
                </c:pt>
                <c:pt idx="4">
                  <c:v>11.01</c:v>
                </c:pt>
                <c:pt idx="5">
                  <c:v>12.03</c:v>
                </c:pt>
                <c:pt idx="6">
                  <c:v>9.44</c:v>
                </c:pt>
                <c:pt idx="7">
                  <c:v>19.190000000000001</c:v>
                </c:pt>
              </c:numCache>
            </c:numRef>
          </c:val>
          <c:smooth val="0"/>
        </c:ser>
        <c:ser>
          <c:idx val="2"/>
          <c:order val="2"/>
          <c:tx>
            <c:strRef>
              <c:f>Sheet1!$D$1</c:f>
              <c:strCache>
                <c:ptCount val="1"/>
                <c:pt idx="0">
                  <c:v>CACREP only</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Sheet1!$D$2:$D$9</c:f>
              <c:numCache>
                <c:formatCode>General</c:formatCode>
                <c:ptCount val="8"/>
                <c:pt idx="0">
                  <c:v>7.06</c:v>
                </c:pt>
                <c:pt idx="1">
                  <c:v>7.65</c:v>
                </c:pt>
                <c:pt idx="2">
                  <c:v>25.22</c:v>
                </c:pt>
                <c:pt idx="3">
                  <c:v>11.33</c:v>
                </c:pt>
                <c:pt idx="4">
                  <c:v>12.81</c:v>
                </c:pt>
                <c:pt idx="5">
                  <c:v>13.46</c:v>
                </c:pt>
                <c:pt idx="6">
                  <c:v>10.69</c:v>
                </c:pt>
                <c:pt idx="7">
                  <c:v>21.01</c:v>
                </c:pt>
              </c:numCache>
            </c:numRef>
          </c:val>
          <c:smooth val="0"/>
        </c:ser>
        <c:dLbls>
          <c:showLegendKey val="0"/>
          <c:showVal val="0"/>
          <c:showCatName val="0"/>
          <c:showSerName val="0"/>
          <c:showPercent val="0"/>
          <c:showBubbleSize val="0"/>
        </c:dLbls>
        <c:smooth val="0"/>
        <c:axId val="137221080"/>
        <c:axId val="7875488"/>
      </c:lineChart>
      <c:catAx>
        <c:axId val="137221080"/>
        <c:scaling>
          <c:orientation val="minMax"/>
        </c:scaling>
        <c:delete val="0"/>
        <c:axPos val="b"/>
        <c:numFmt formatCode="General" sourceLinked="0"/>
        <c:majorTickMark val="out"/>
        <c:minorTickMark val="none"/>
        <c:tickLblPos val="nextTo"/>
        <c:crossAx val="7875488"/>
        <c:crosses val="autoZero"/>
        <c:auto val="1"/>
        <c:lblAlgn val="ctr"/>
        <c:lblOffset val="100"/>
        <c:noMultiLvlLbl val="0"/>
      </c:catAx>
      <c:valAx>
        <c:axId val="7875488"/>
        <c:scaling>
          <c:orientation val="minMax"/>
          <c:min val="5"/>
        </c:scaling>
        <c:delete val="0"/>
        <c:axPos val="l"/>
        <c:majorGridlines/>
        <c:numFmt formatCode="General" sourceLinked="1"/>
        <c:majorTickMark val="out"/>
        <c:minorTickMark val="none"/>
        <c:tickLblPos val="nextTo"/>
        <c:crossAx val="137221080"/>
        <c:crosses val="autoZero"/>
        <c:crossBetween val="between"/>
        <c:majorUnit val="2"/>
        <c:minorUnit val="0.60000000000000009"/>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Texas State</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Sheet1!$B$2:$B$9</c:f>
              <c:numCache>
                <c:formatCode>General</c:formatCode>
                <c:ptCount val="8"/>
                <c:pt idx="0">
                  <c:v>9.6999999999999993</c:v>
                </c:pt>
                <c:pt idx="1">
                  <c:v>9.07</c:v>
                </c:pt>
                <c:pt idx="2">
                  <c:v>27</c:v>
                </c:pt>
                <c:pt idx="3">
                  <c:v>12.74</c:v>
                </c:pt>
                <c:pt idx="4">
                  <c:v>15.15</c:v>
                </c:pt>
                <c:pt idx="5">
                  <c:v>15.41</c:v>
                </c:pt>
                <c:pt idx="6">
                  <c:v>11.89</c:v>
                </c:pt>
                <c:pt idx="7">
                  <c:v>24.04</c:v>
                </c:pt>
              </c:numCache>
            </c:numRef>
          </c:val>
          <c:smooth val="0"/>
        </c:ser>
        <c:ser>
          <c:idx val="1"/>
          <c:order val="1"/>
          <c:tx>
            <c:strRef>
              <c:f>Sheet1!$C$1</c:f>
              <c:strCache>
                <c:ptCount val="1"/>
                <c:pt idx="0">
                  <c:v>National</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Sheet1!$C$2:$C$9</c:f>
              <c:numCache>
                <c:formatCode>General</c:formatCode>
                <c:ptCount val="8"/>
                <c:pt idx="0">
                  <c:v>6.98</c:v>
                </c:pt>
                <c:pt idx="1">
                  <c:v>6.49</c:v>
                </c:pt>
                <c:pt idx="2">
                  <c:v>20.79</c:v>
                </c:pt>
                <c:pt idx="3">
                  <c:v>9.9600000000000009</c:v>
                </c:pt>
                <c:pt idx="4">
                  <c:v>11.56</c:v>
                </c:pt>
                <c:pt idx="5">
                  <c:v>12.2</c:v>
                </c:pt>
                <c:pt idx="6">
                  <c:v>8.3699999999999992</c:v>
                </c:pt>
                <c:pt idx="7">
                  <c:v>19.350000000000001</c:v>
                </c:pt>
              </c:numCache>
            </c:numRef>
          </c:val>
          <c:smooth val="0"/>
        </c:ser>
        <c:ser>
          <c:idx val="2"/>
          <c:order val="2"/>
          <c:tx>
            <c:strRef>
              <c:f>Sheet1!$D$1</c:f>
              <c:strCache>
                <c:ptCount val="1"/>
                <c:pt idx="0">
                  <c:v>CACREP only</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Sheet1!$D$2:$D$9</c:f>
              <c:numCache>
                <c:formatCode>General</c:formatCode>
                <c:ptCount val="8"/>
                <c:pt idx="0">
                  <c:v>8.9</c:v>
                </c:pt>
                <c:pt idx="1">
                  <c:v>8.14</c:v>
                </c:pt>
                <c:pt idx="2">
                  <c:v>25.18</c:v>
                </c:pt>
                <c:pt idx="3">
                  <c:v>11.88</c:v>
                </c:pt>
                <c:pt idx="4">
                  <c:v>14.1</c:v>
                </c:pt>
                <c:pt idx="5">
                  <c:v>14.58</c:v>
                </c:pt>
                <c:pt idx="6">
                  <c:v>10.72</c:v>
                </c:pt>
                <c:pt idx="7">
                  <c:v>22.63</c:v>
                </c:pt>
              </c:numCache>
            </c:numRef>
          </c:val>
          <c:smooth val="0"/>
        </c:ser>
        <c:dLbls>
          <c:showLegendKey val="0"/>
          <c:showVal val="0"/>
          <c:showCatName val="0"/>
          <c:showSerName val="0"/>
          <c:showPercent val="0"/>
          <c:showBubbleSize val="0"/>
        </c:dLbls>
        <c:smooth val="0"/>
        <c:axId val="242230824"/>
        <c:axId val="242231216"/>
      </c:lineChart>
      <c:catAx>
        <c:axId val="242230824"/>
        <c:scaling>
          <c:orientation val="minMax"/>
        </c:scaling>
        <c:delete val="0"/>
        <c:axPos val="b"/>
        <c:numFmt formatCode="General" sourceLinked="0"/>
        <c:majorTickMark val="out"/>
        <c:minorTickMark val="none"/>
        <c:tickLblPos val="nextTo"/>
        <c:crossAx val="242231216"/>
        <c:crosses val="autoZero"/>
        <c:auto val="1"/>
        <c:lblAlgn val="ctr"/>
        <c:lblOffset val="100"/>
        <c:noMultiLvlLbl val="0"/>
      </c:catAx>
      <c:valAx>
        <c:axId val="242231216"/>
        <c:scaling>
          <c:orientation val="minMax"/>
          <c:min val="5"/>
        </c:scaling>
        <c:delete val="0"/>
        <c:axPos val="l"/>
        <c:majorGridlines/>
        <c:numFmt formatCode="General" sourceLinked="1"/>
        <c:majorTickMark val="out"/>
        <c:minorTickMark val="none"/>
        <c:tickLblPos val="nextTo"/>
        <c:crossAx val="242230824"/>
        <c:crosses val="autoZero"/>
        <c:crossBetween val="between"/>
        <c:majorUnit val="2"/>
        <c:minorUnit val="0.60000000000000009"/>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Texas State</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Sheet1!$B$2:$B$9</c:f>
              <c:numCache>
                <c:formatCode>General</c:formatCode>
                <c:ptCount val="8"/>
                <c:pt idx="0">
                  <c:v>10</c:v>
                </c:pt>
                <c:pt idx="1">
                  <c:v>9.23</c:v>
                </c:pt>
                <c:pt idx="2">
                  <c:v>29.08</c:v>
                </c:pt>
                <c:pt idx="3">
                  <c:v>13.31</c:v>
                </c:pt>
                <c:pt idx="4">
                  <c:v>14.92</c:v>
                </c:pt>
                <c:pt idx="5">
                  <c:v>15.15</c:v>
                </c:pt>
                <c:pt idx="6">
                  <c:v>13.15</c:v>
                </c:pt>
                <c:pt idx="7">
                  <c:v>23.54</c:v>
                </c:pt>
              </c:numCache>
            </c:numRef>
          </c:val>
          <c:smooth val="0"/>
        </c:ser>
        <c:ser>
          <c:idx val="1"/>
          <c:order val="1"/>
          <c:tx>
            <c:strRef>
              <c:f>Sheet1!$C$1</c:f>
              <c:strCache>
                <c:ptCount val="1"/>
                <c:pt idx="0">
                  <c:v>National</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Sheet1!$C$2:$C$9</c:f>
              <c:numCache>
                <c:formatCode>General</c:formatCode>
                <c:ptCount val="8"/>
                <c:pt idx="0">
                  <c:v>6.71</c:v>
                </c:pt>
                <c:pt idx="1">
                  <c:v>6.62</c:v>
                </c:pt>
                <c:pt idx="2">
                  <c:v>20.309999999999999</c:v>
                </c:pt>
                <c:pt idx="3">
                  <c:v>9.7100000000000009</c:v>
                </c:pt>
                <c:pt idx="4">
                  <c:v>10.97</c:v>
                </c:pt>
                <c:pt idx="5">
                  <c:v>11.34</c:v>
                </c:pt>
                <c:pt idx="6">
                  <c:v>8.4499999999999993</c:v>
                </c:pt>
                <c:pt idx="7">
                  <c:v>17.84</c:v>
                </c:pt>
              </c:numCache>
            </c:numRef>
          </c:val>
          <c:smooth val="0"/>
        </c:ser>
        <c:ser>
          <c:idx val="2"/>
          <c:order val="2"/>
          <c:tx>
            <c:strRef>
              <c:f>Sheet1!$D$1</c:f>
              <c:strCache>
                <c:ptCount val="1"/>
                <c:pt idx="0">
                  <c:v>CACREP only</c:v>
                </c:pt>
              </c:strCache>
            </c:strRef>
          </c:tx>
          <c:marker>
            <c:symbol val="none"/>
          </c:marker>
          <c:cat>
            <c:strRef>
              <c:f>Sheet1!$A$2:$A$9</c:f>
              <c:strCache>
                <c:ptCount val="8"/>
                <c:pt idx="0">
                  <c:v>Development</c:v>
                </c:pt>
                <c:pt idx="1">
                  <c:v>Diversity</c:v>
                </c:pt>
                <c:pt idx="2">
                  <c:v>Helping Rel.</c:v>
                </c:pt>
                <c:pt idx="3">
                  <c:v>Group</c:v>
                </c:pt>
                <c:pt idx="4">
                  <c:v>Career</c:v>
                </c:pt>
                <c:pt idx="5">
                  <c:v>Appraisal</c:v>
                </c:pt>
                <c:pt idx="6">
                  <c:v>Research </c:v>
                </c:pt>
                <c:pt idx="7">
                  <c:v>Ethics</c:v>
                </c:pt>
              </c:strCache>
            </c:strRef>
          </c:cat>
          <c:val>
            <c:numRef>
              <c:f>Sheet1!$D$2:$D$9</c:f>
              <c:numCache>
                <c:formatCode>General</c:formatCode>
                <c:ptCount val="8"/>
                <c:pt idx="0">
                  <c:v>8.2799999999999994</c:v>
                </c:pt>
                <c:pt idx="1">
                  <c:v>7.53</c:v>
                </c:pt>
                <c:pt idx="2">
                  <c:v>24.09</c:v>
                </c:pt>
                <c:pt idx="3">
                  <c:v>11.39</c:v>
                </c:pt>
                <c:pt idx="4">
                  <c:v>12.96</c:v>
                </c:pt>
                <c:pt idx="5">
                  <c:v>13.3</c:v>
                </c:pt>
                <c:pt idx="6">
                  <c:v>10.34</c:v>
                </c:pt>
                <c:pt idx="7">
                  <c:v>22.63</c:v>
                </c:pt>
              </c:numCache>
            </c:numRef>
          </c:val>
          <c:smooth val="0"/>
        </c:ser>
        <c:dLbls>
          <c:showLegendKey val="0"/>
          <c:showVal val="0"/>
          <c:showCatName val="0"/>
          <c:showSerName val="0"/>
          <c:showPercent val="0"/>
          <c:showBubbleSize val="0"/>
        </c:dLbls>
        <c:smooth val="0"/>
        <c:axId val="242232000"/>
        <c:axId val="242232392"/>
      </c:lineChart>
      <c:catAx>
        <c:axId val="242232000"/>
        <c:scaling>
          <c:orientation val="minMax"/>
        </c:scaling>
        <c:delete val="0"/>
        <c:axPos val="b"/>
        <c:numFmt formatCode="General" sourceLinked="0"/>
        <c:majorTickMark val="out"/>
        <c:minorTickMark val="none"/>
        <c:tickLblPos val="nextTo"/>
        <c:crossAx val="242232392"/>
        <c:crosses val="autoZero"/>
        <c:auto val="1"/>
        <c:lblAlgn val="ctr"/>
        <c:lblOffset val="100"/>
        <c:noMultiLvlLbl val="0"/>
      </c:catAx>
      <c:valAx>
        <c:axId val="242232392"/>
        <c:scaling>
          <c:orientation val="minMax"/>
          <c:min val="5"/>
        </c:scaling>
        <c:delete val="0"/>
        <c:axPos val="l"/>
        <c:majorGridlines/>
        <c:numFmt formatCode="General" sourceLinked="1"/>
        <c:majorTickMark val="out"/>
        <c:minorTickMark val="none"/>
        <c:tickLblPos val="nextTo"/>
        <c:crossAx val="242232000"/>
        <c:crosses val="autoZero"/>
        <c:crossBetween val="between"/>
        <c:majorUnit val="2"/>
        <c:minorUnit val="0.60000000000000009"/>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Fall, Kevin A</cp:lastModifiedBy>
  <cp:revision>7</cp:revision>
  <dcterms:created xsi:type="dcterms:W3CDTF">2014-07-17T19:09:00Z</dcterms:created>
  <dcterms:modified xsi:type="dcterms:W3CDTF">2015-09-17T18:43:00Z</dcterms:modified>
</cp:coreProperties>
</file>