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C201" w14:textId="356A0791" w:rsidR="00B07A1E" w:rsidRDefault="00B07A1E" w:rsidP="00765A40">
      <w:pPr>
        <w:pStyle w:val="BodyText"/>
        <w:tabs>
          <w:tab w:val="left" w:pos="4950"/>
        </w:tabs>
        <w:ind w:right="-446"/>
        <w:rPr>
          <w:rFonts w:asciiTheme="minorHAnsi" w:hAnsiTheme="minorHAnsi" w:cstheme="minorHAnsi"/>
          <w:sz w:val="28"/>
          <w:szCs w:val="28"/>
        </w:rPr>
      </w:pPr>
    </w:p>
    <w:p w14:paraId="29A8B94E" w14:textId="2B7B549E" w:rsidR="00765A40" w:rsidRPr="005869CE" w:rsidRDefault="00B07A1E" w:rsidP="00765A40">
      <w:pPr>
        <w:pStyle w:val="BodyText"/>
        <w:tabs>
          <w:tab w:val="left" w:pos="4950"/>
        </w:tabs>
        <w:ind w:right="-446"/>
        <w:rPr>
          <w:rFonts w:asciiTheme="minorHAnsi" w:hAnsiTheme="minorHAnsi" w:cstheme="minorHAnsi"/>
          <w:sz w:val="28"/>
          <w:szCs w:val="28"/>
        </w:rPr>
      </w:pPr>
      <w:r w:rsidRPr="00B07A1E">
        <w:rPr>
          <w:rFonts w:asciiTheme="minorHAnsi" w:hAnsiTheme="minorHAnsi" w:cstheme="minorHAnsi"/>
          <w:noProof/>
          <w:sz w:val="28"/>
          <w:szCs w:val="28"/>
        </w:rPr>
        <mc:AlternateContent>
          <mc:Choice Requires="wps">
            <w:drawing>
              <wp:anchor distT="45720" distB="45720" distL="114300" distR="114300" simplePos="0" relativeHeight="251659264" behindDoc="0" locked="0" layoutInCell="1" allowOverlap="1" wp14:anchorId="283EB0E5" wp14:editId="1BD8977F">
                <wp:simplePos x="0" y="0"/>
                <wp:positionH relativeFrom="margin">
                  <wp:align>left</wp:align>
                </wp:positionH>
                <wp:positionV relativeFrom="paragraph">
                  <wp:posOffset>11430</wp:posOffset>
                </wp:positionV>
                <wp:extent cx="3133725" cy="1404620"/>
                <wp:effectExtent l="0" t="0" r="952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noFill/>
                          <a:miter lim="800000"/>
                          <a:headEnd/>
                          <a:tailEnd/>
                        </a:ln>
                      </wps:spPr>
                      <wps:txbx>
                        <w:txbxContent>
                          <w:p w14:paraId="701DB159" w14:textId="45BA438A" w:rsidR="00B07A1E" w:rsidRPr="00AD0CBD" w:rsidRDefault="00B07A1E">
                            <w:pPr>
                              <w:rPr>
                                <w:sz w:val="32"/>
                                <w:szCs w:val="32"/>
                              </w:rPr>
                            </w:pPr>
                            <w:r w:rsidRPr="00AD0CBD">
                              <w:rPr>
                                <w:rFonts w:cstheme="minorHAnsi"/>
                                <w:b/>
                                <w:bCs/>
                                <w:sz w:val="40"/>
                                <w:szCs w:val="40"/>
                              </w:rPr>
                              <w:t>Graduate Faculty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EB0E5" id="_x0000_t202" coordsize="21600,21600" o:spt="202" path="m,l,21600r21600,l21600,xe">
                <v:stroke joinstyle="miter"/>
                <v:path gradientshapeok="t" o:connecttype="rect"/>
              </v:shapetype>
              <v:shape id="Text Box 2" o:spid="_x0000_s1026" type="#_x0000_t202" style="position:absolute;margin-left:0;margin-top:.9pt;width:246.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" stroked="f">
                <v:textbox style="mso-fit-shape-to-text:t">
                  <w:txbxContent>
                    <w:p w14:paraId="701DB159" w14:textId="45BA438A" w:rsidR="00B07A1E" w:rsidRPr="00AD0CBD" w:rsidRDefault="00B07A1E">
                      <w:pPr>
                        <w:rPr>
                          <w:sz w:val="32"/>
                          <w:szCs w:val="32"/>
                        </w:rPr>
                      </w:pPr>
                      <w:r w:rsidRPr="00AD0CBD">
                        <w:rPr>
                          <w:rFonts w:cstheme="minorHAnsi"/>
                          <w:b/>
                          <w:bCs/>
                          <w:sz w:val="40"/>
                          <w:szCs w:val="40"/>
                        </w:rPr>
                        <w:t>Graduate Faculty Evaluation</w:t>
                      </w:r>
                    </w:p>
                  </w:txbxContent>
                </v:textbox>
                <w10:wrap type="square" anchorx="margin"/>
              </v:shape>
            </w:pict>
          </mc:Fallback>
        </mc:AlternateContent>
      </w:r>
      <w:r w:rsidR="00765A40" w:rsidRPr="005869CE">
        <w:rPr>
          <w:rFonts w:asciiTheme="minorHAnsi" w:hAnsiTheme="minorHAnsi" w:cstheme="minorHAnsi"/>
          <w:sz w:val="28"/>
          <w:szCs w:val="28"/>
        </w:rPr>
        <w:t>SOHA PPS 0</w:t>
      </w:r>
      <w:r w:rsidR="00765A40">
        <w:rPr>
          <w:rFonts w:asciiTheme="minorHAnsi" w:hAnsiTheme="minorHAnsi" w:cstheme="minorHAnsi"/>
          <w:sz w:val="28"/>
          <w:szCs w:val="28"/>
        </w:rPr>
        <w:t>4</w:t>
      </w:r>
      <w:r w:rsidR="00765A40" w:rsidRPr="005869CE">
        <w:rPr>
          <w:rFonts w:asciiTheme="minorHAnsi" w:hAnsiTheme="minorHAnsi" w:cstheme="minorHAnsi"/>
          <w:sz w:val="28"/>
          <w:szCs w:val="28"/>
        </w:rPr>
        <w:t>.0</w:t>
      </w:r>
      <w:r w:rsidR="00765A40">
        <w:rPr>
          <w:rFonts w:asciiTheme="minorHAnsi" w:hAnsiTheme="minorHAnsi" w:cstheme="minorHAnsi"/>
          <w:sz w:val="28"/>
          <w:szCs w:val="28"/>
        </w:rPr>
        <w:t>1.30</w:t>
      </w:r>
    </w:p>
    <w:p w14:paraId="6CCD7F9B" w14:textId="77777777" w:rsidR="00AD0CBD" w:rsidRDefault="00765A40" w:rsidP="00765A40">
      <w:pPr>
        <w:pStyle w:val="BodyText"/>
        <w:tabs>
          <w:tab w:val="left" w:pos="4950"/>
        </w:tabs>
        <w:ind w:right="-446"/>
        <w:rPr>
          <w:rFonts w:asciiTheme="minorHAnsi" w:hAnsiTheme="minorHAnsi" w:cstheme="minorHAnsi"/>
          <w:sz w:val="28"/>
          <w:szCs w:val="28"/>
        </w:rPr>
      </w:pPr>
      <w:r w:rsidRPr="005869CE">
        <w:rPr>
          <w:rFonts w:asciiTheme="minorHAnsi" w:hAnsiTheme="minorHAnsi" w:cstheme="minorHAnsi"/>
          <w:sz w:val="28"/>
          <w:szCs w:val="28"/>
        </w:rPr>
        <w:t>Effective Date 5/1/2022</w:t>
      </w:r>
    </w:p>
    <w:p w14:paraId="5FFBC765" w14:textId="3DA85F3C" w:rsidR="00765A40" w:rsidRPr="005869CE" w:rsidRDefault="00765A40" w:rsidP="00765A40">
      <w:pPr>
        <w:pStyle w:val="BodyText"/>
        <w:tabs>
          <w:tab w:val="left" w:pos="4950"/>
        </w:tabs>
        <w:ind w:right="-446"/>
        <w:rPr>
          <w:rFonts w:asciiTheme="minorHAnsi" w:hAnsiTheme="minorHAnsi" w:cstheme="minorHAnsi"/>
          <w:sz w:val="28"/>
          <w:szCs w:val="28"/>
        </w:rPr>
      </w:pPr>
      <w:r w:rsidRPr="005869CE">
        <w:rPr>
          <w:rFonts w:asciiTheme="minorHAnsi" w:hAnsiTheme="minorHAnsi" w:cstheme="minorHAnsi"/>
          <w:sz w:val="28"/>
          <w:szCs w:val="28"/>
        </w:rPr>
        <w:t>Review</w:t>
      </w:r>
      <w:r w:rsidRPr="005869CE">
        <w:rPr>
          <w:rFonts w:asciiTheme="minorHAnsi" w:hAnsiTheme="minorHAnsi" w:cstheme="minorHAnsi"/>
          <w:spacing w:val="-3"/>
          <w:sz w:val="28"/>
          <w:szCs w:val="28"/>
        </w:rPr>
        <w:t xml:space="preserve"> </w:t>
      </w:r>
      <w:r w:rsidRPr="005869CE">
        <w:rPr>
          <w:rFonts w:asciiTheme="minorHAnsi" w:hAnsiTheme="minorHAnsi" w:cstheme="minorHAnsi"/>
          <w:sz w:val="28"/>
          <w:szCs w:val="28"/>
        </w:rPr>
        <w:t>Date:</w:t>
      </w:r>
      <w:r w:rsidRPr="005869CE">
        <w:rPr>
          <w:rFonts w:asciiTheme="minorHAnsi" w:hAnsiTheme="minorHAnsi" w:cstheme="minorHAnsi"/>
          <w:spacing w:val="-3"/>
          <w:sz w:val="28"/>
          <w:szCs w:val="28"/>
        </w:rPr>
        <w:t xml:space="preserve"> </w:t>
      </w:r>
      <w:r w:rsidR="00AD0CBD">
        <w:rPr>
          <w:rFonts w:asciiTheme="minorHAnsi" w:hAnsiTheme="minorHAnsi" w:cstheme="minorHAnsi"/>
          <w:sz w:val="28"/>
          <w:szCs w:val="28"/>
        </w:rPr>
        <w:t>4/</w:t>
      </w:r>
      <w:r w:rsidR="00430B9B">
        <w:rPr>
          <w:rFonts w:asciiTheme="minorHAnsi" w:hAnsiTheme="minorHAnsi" w:cstheme="minorHAnsi"/>
          <w:sz w:val="28"/>
          <w:szCs w:val="28"/>
        </w:rPr>
        <w:t>2</w:t>
      </w:r>
      <w:r w:rsidR="00AD0CBD">
        <w:rPr>
          <w:rFonts w:asciiTheme="minorHAnsi" w:hAnsiTheme="minorHAnsi" w:cstheme="minorHAnsi"/>
          <w:sz w:val="28"/>
          <w:szCs w:val="28"/>
        </w:rPr>
        <w:t>/</w:t>
      </w:r>
      <w:r w:rsidRPr="005869CE">
        <w:rPr>
          <w:rFonts w:asciiTheme="minorHAnsi" w:hAnsiTheme="minorHAnsi" w:cstheme="minorHAnsi"/>
          <w:sz w:val="28"/>
          <w:szCs w:val="28"/>
        </w:rPr>
        <w:t>2022</w:t>
      </w:r>
    </w:p>
    <w:p w14:paraId="591D5A7C" w14:textId="19ABEE90" w:rsidR="00765A40" w:rsidRPr="005869CE" w:rsidRDefault="00765A40" w:rsidP="00765A40">
      <w:pPr>
        <w:pStyle w:val="BodyText"/>
        <w:tabs>
          <w:tab w:val="left" w:pos="4950"/>
        </w:tabs>
        <w:ind w:right="-446"/>
        <w:rPr>
          <w:rFonts w:asciiTheme="minorHAnsi" w:hAnsiTheme="minorHAnsi" w:cstheme="minorHAnsi"/>
          <w:sz w:val="28"/>
          <w:szCs w:val="28"/>
        </w:rPr>
      </w:pPr>
      <w:r w:rsidRPr="005869CE">
        <w:rPr>
          <w:rFonts w:asciiTheme="minorHAnsi" w:hAnsiTheme="minorHAnsi" w:cstheme="minorHAnsi"/>
          <w:sz w:val="28"/>
          <w:szCs w:val="28"/>
        </w:rPr>
        <w:t>Next review date: 04/02/2027 (E5Y)</w:t>
      </w:r>
    </w:p>
    <w:p w14:paraId="56253D5C" w14:textId="74C859CB" w:rsidR="00765A40" w:rsidRPr="005869CE" w:rsidRDefault="00765A40" w:rsidP="00765A40">
      <w:pPr>
        <w:pStyle w:val="BodyText"/>
        <w:tabs>
          <w:tab w:val="left" w:pos="4950"/>
        </w:tabs>
        <w:ind w:right="-446"/>
        <w:rPr>
          <w:rFonts w:asciiTheme="minorHAnsi" w:hAnsiTheme="minorHAnsi" w:cstheme="minorHAnsi"/>
          <w:sz w:val="28"/>
          <w:szCs w:val="28"/>
        </w:rPr>
      </w:pPr>
      <w:r w:rsidRPr="005869CE">
        <w:rPr>
          <w:rFonts w:asciiTheme="minorHAnsi" w:hAnsiTheme="minorHAnsi" w:cstheme="minorHAnsi"/>
          <w:sz w:val="28"/>
          <w:szCs w:val="28"/>
        </w:rPr>
        <w:t>Sr. Reviewer: SOHA Director</w:t>
      </w:r>
    </w:p>
    <w:p w14:paraId="6DAFC4FE" w14:textId="0950A7F7" w:rsidR="00765A40" w:rsidRPr="00DE7DD4" w:rsidRDefault="00DE7DD4" w:rsidP="00FC3152">
      <w:pPr>
        <w:pStyle w:val="BodyText"/>
        <w:tabs>
          <w:tab w:val="left" w:pos="4950"/>
        </w:tabs>
        <w:ind w:left="735" w:right="-446"/>
        <w:rPr>
          <w:rFonts w:asciiTheme="minorHAnsi" w:hAnsiTheme="minorHAnsi" w:cstheme="minorHAnsi"/>
          <w:sz w:val="28"/>
          <w:szCs w:val="28"/>
        </w:rPr>
      </w:pPr>
      <w:r>
        <w:rPr>
          <w:rFonts w:asciiTheme="minorHAnsi" w:hAnsiTheme="minorHAnsi" w:cstheme="minorHAnsi"/>
          <w:sz w:val="28"/>
          <w:szCs w:val="28"/>
        </w:rPr>
        <w:tab/>
      </w:r>
    </w:p>
    <w:p w14:paraId="13F769F0" w14:textId="28398C6D" w:rsidR="00B67C78" w:rsidRPr="008A26DA" w:rsidRDefault="00FC3152" w:rsidP="00FC3152">
      <w:pPr>
        <w:shd w:val="clear" w:color="auto" w:fill="FFFFFF"/>
        <w:spacing w:after="120" w:line="240" w:lineRule="auto"/>
        <w:ind w:right="-40"/>
        <w:outlineLvl w:val="0"/>
        <w:rPr>
          <w:rFonts w:ascii="Arial" w:eastAsia="Times New Roman" w:hAnsi="Arial" w:cs="Arial"/>
          <w:b/>
          <w:bCs/>
          <w:color w:val="222222"/>
          <w:kern w:val="36"/>
          <w:sz w:val="28"/>
          <w:szCs w:val="28"/>
        </w:rPr>
      </w:pPr>
      <w:r w:rsidRPr="008A26DA">
        <w:rPr>
          <w:rFonts w:ascii="Arial" w:eastAsia="Times New Roman" w:hAnsi="Arial" w:cs="Arial"/>
          <w:b/>
          <w:bCs/>
          <w:color w:val="222222"/>
          <w:kern w:val="36"/>
          <w:sz w:val="28"/>
          <w:szCs w:val="28"/>
        </w:rPr>
        <w:t>01.</w:t>
      </w:r>
      <w:r w:rsidRPr="008A26DA">
        <w:rPr>
          <w:rFonts w:ascii="Arial" w:eastAsia="Times New Roman" w:hAnsi="Arial" w:cs="Arial"/>
          <w:b/>
          <w:bCs/>
          <w:color w:val="222222"/>
          <w:kern w:val="36"/>
          <w:sz w:val="28"/>
          <w:szCs w:val="28"/>
        </w:rPr>
        <w:tab/>
      </w:r>
      <w:r w:rsidR="00FF316B" w:rsidRPr="008A26DA">
        <w:rPr>
          <w:rFonts w:ascii="Arial" w:eastAsia="Times New Roman" w:hAnsi="Arial" w:cs="Arial"/>
          <w:b/>
          <w:bCs/>
          <w:color w:val="222222"/>
          <w:kern w:val="36"/>
          <w:sz w:val="28"/>
          <w:szCs w:val="28"/>
        </w:rPr>
        <w:t>POLICY STATEMENT</w:t>
      </w:r>
    </w:p>
    <w:p w14:paraId="3A74D72B" w14:textId="45B0353E" w:rsidR="00B67C78" w:rsidRPr="008A26DA" w:rsidRDefault="00B67C78" w:rsidP="00B67C78">
      <w:pPr>
        <w:pStyle w:val="ListParagraph"/>
        <w:shd w:val="clear" w:color="auto" w:fill="FFFFFF"/>
        <w:spacing w:after="120" w:line="240" w:lineRule="auto"/>
        <w:ind w:right="-40"/>
        <w:outlineLvl w:val="0"/>
        <w:rPr>
          <w:rFonts w:ascii="Arial" w:eastAsia="Times New Roman" w:hAnsi="Arial" w:cs="Arial"/>
          <w:b/>
          <w:bCs/>
          <w:color w:val="222222"/>
          <w:kern w:val="36"/>
          <w:sz w:val="28"/>
          <w:szCs w:val="28"/>
        </w:rPr>
      </w:pPr>
      <w:r w:rsidRPr="008A26DA">
        <w:rPr>
          <w:rFonts w:ascii="Arial" w:eastAsia="Times New Roman" w:hAnsi="Arial" w:cs="Arial"/>
          <w:color w:val="222222"/>
          <w:kern w:val="36"/>
          <w:sz w:val="28"/>
          <w:szCs w:val="28"/>
        </w:rPr>
        <w:t>SOHA is committed to our the development of high-quality faculty, and for producing high-quality graduates from our programs.</w:t>
      </w:r>
    </w:p>
    <w:p w14:paraId="2F6F5874" w14:textId="77777777" w:rsidR="00B67C78" w:rsidRPr="00B67C78" w:rsidRDefault="00B67C78" w:rsidP="00B67C78">
      <w:pPr>
        <w:shd w:val="clear" w:color="auto" w:fill="FFFFFF"/>
        <w:spacing w:after="0" w:line="240" w:lineRule="auto"/>
        <w:ind w:left="720" w:right="-40" w:hanging="600"/>
        <w:rPr>
          <w:rFonts w:ascii="Arial" w:eastAsia="Times New Roman" w:hAnsi="Arial" w:cs="Arial"/>
          <w:color w:val="222222"/>
          <w:sz w:val="28"/>
          <w:szCs w:val="28"/>
        </w:rPr>
      </w:pPr>
      <w:r w:rsidRPr="00B67C78">
        <w:rPr>
          <w:rFonts w:ascii="Arial" w:eastAsia="Times New Roman" w:hAnsi="Arial" w:cs="Arial"/>
          <w:color w:val="222222"/>
          <w:sz w:val="28"/>
          <w:szCs w:val="28"/>
        </w:rPr>
        <w:t>02.</w:t>
      </w:r>
      <w:r w:rsidRPr="00B67C78">
        <w:rPr>
          <w:rFonts w:ascii="Arial" w:eastAsia="Times New Roman" w:hAnsi="Arial" w:cs="Arial"/>
          <w:color w:val="222222"/>
          <w:sz w:val="16"/>
          <w:szCs w:val="16"/>
        </w:rPr>
        <w:t>      </w:t>
      </w:r>
      <w:r w:rsidRPr="00B67C78">
        <w:rPr>
          <w:rFonts w:ascii="Arial" w:eastAsia="Times New Roman" w:hAnsi="Arial" w:cs="Arial"/>
          <w:color w:val="222222"/>
          <w:sz w:val="28"/>
          <w:szCs w:val="28"/>
        </w:rPr>
        <w:t>The School of Health Administration follows the provisions of </w:t>
      </w:r>
      <w:hyperlink r:id="rId5" w:history="1">
        <w:r w:rsidRPr="00B67C78">
          <w:rPr>
            <w:rFonts w:ascii="Arial" w:eastAsia="Times New Roman" w:hAnsi="Arial" w:cs="Arial"/>
            <w:color w:val="0000FF"/>
            <w:sz w:val="28"/>
            <w:szCs w:val="28"/>
            <w:u w:val="single"/>
          </w:rPr>
          <w:t>AA/PPS No. 04.01.30</w:t>
        </w:r>
      </w:hyperlink>
      <w:r w:rsidRPr="00B67C78">
        <w:rPr>
          <w:rFonts w:ascii="Arial" w:eastAsia="Times New Roman" w:hAnsi="Arial" w:cs="Arial"/>
          <w:color w:val="222222"/>
          <w:sz w:val="28"/>
          <w:szCs w:val="28"/>
        </w:rPr>
        <w:t> (7.03), Nomination and Evaluation Procedure for Graduate Faculty, which are incorporated by reference into this document. The following policies are designed to ensure that graduate faculty membership is based on a careful review of teaching, scholarship/creative activity, and service.</w:t>
      </w:r>
    </w:p>
    <w:p w14:paraId="5DA1151C" w14:textId="77777777" w:rsidR="00B67C78" w:rsidRPr="00B67C78" w:rsidRDefault="00B67C78" w:rsidP="00B67C78">
      <w:pPr>
        <w:shd w:val="clear" w:color="auto" w:fill="FFFFFF"/>
        <w:spacing w:after="120" w:line="240" w:lineRule="auto"/>
        <w:ind w:left="720" w:right="-40" w:hanging="600"/>
        <w:rPr>
          <w:rFonts w:ascii="Arial" w:eastAsia="Times New Roman" w:hAnsi="Arial" w:cs="Arial"/>
          <w:color w:val="222222"/>
          <w:sz w:val="28"/>
          <w:szCs w:val="28"/>
        </w:rPr>
      </w:pPr>
      <w:r w:rsidRPr="00B67C78">
        <w:rPr>
          <w:rFonts w:ascii="Arial" w:eastAsia="Times New Roman" w:hAnsi="Arial" w:cs="Arial"/>
          <w:color w:val="222222"/>
          <w:sz w:val="28"/>
          <w:szCs w:val="28"/>
        </w:rPr>
        <w:t>03.</w:t>
      </w:r>
      <w:r w:rsidRPr="00B67C78">
        <w:rPr>
          <w:rFonts w:ascii="Arial" w:eastAsia="Times New Roman" w:hAnsi="Arial" w:cs="Arial"/>
          <w:color w:val="222222"/>
          <w:sz w:val="16"/>
          <w:szCs w:val="16"/>
        </w:rPr>
        <w:t>      </w:t>
      </w:r>
      <w:r w:rsidRPr="00B67C78">
        <w:rPr>
          <w:rFonts w:ascii="Arial" w:eastAsia="Times New Roman" w:hAnsi="Arial" w:cs="Arial"/>
          <w:color w:val="222222"/>
          <w:sz w:val="28"/>
          <w:szCs w:val="28"/>
        </w:rPr>
        <w:t>Criteria for Graduate Faculty Membership</w:t>
      </w:r>
    </w:p>
    <w:p w14:paraId="07B3AB24" w14:textId="77777777" w:rsidR="00B67C78" w:rsidRPr="00B67C78" w:rsidRDefault="00B67C78" w:rsidP="00B67C78">
      <w:pPr>
        <w:shd w:val="clear" w:color="auto" w:fill="FFFFFF"/>
        <w:spacing w:after="0" w:line="240" w:lineRule="auto"/>
        <w:ind w:left="1620" w:right="-40" w:hanging="900"/>
        <w:rPr>
          <w:rFonts w:ascii="Arial" w:eastAsia="Times New Roman" w:hAnsi="Arial" w:cs="Arial"/>
          <w:color w:val="222222"/>
          <w:sz w:val="28"/>
          <w:szCs w:val="28"/>
        </w:rPr>
      </w:pPr>
      <w:r w:rsidRPr="00B67C78">
        <w:rPr>
          <w:rFonts w:ascii="Arial" w:eastAsia="Times New Roman" w:hAnsi="Arial" w:cs="Arial"/>
          <w:color w:val="222222"/>
          <w:sz w:val="28"/>
          <w:szCs w:val="28"/>
        </w:rPr>
        <w:t>03.01 Faculty teaching graduate courses in the School ordinarily hold a terminal degree in the discipline and must have a proven record of scholarship or creative activity in their field. The School’s graduate director may recommend an exception to this criterion (see </w:t>
      </w:r>
      <w:hyperlink r:id="rId6" w:history="1">
        <w:r w:rsidRPr="00B67C78">
          <w:rPr>
            <w:rFonts w:ascii="Arial" w:eastAsia="Times New Roman" w:hAnsi="Arial" w:cs="Arial"/>
            <w:color w:val="0000FF"/>
            <w:sz w:val="28"/>
            <w:szCs w:val="28"/>
            <w:u w:val="single"/>
          </w:rPr>
          <w:t>AA/PPS No. 04.01.30</w:t>
        </w:r>
      </w:hyperlink>
      <w:r w:rsidRPr="00B67C78">
        <w:rPr>
          <w:rFonts w:ascii="Arial" w:eastAsia="Times New Roman" w:hAnsi="Arial" w:cs="Arial"/>
          <w:color w:val="222222"/>
          <w:sz w:val="28"/>
          <w:szCs w:val="28"/>
        </w:rPr>
        <w:t> (7.03)). Faculty teaching graduate courses with a “regular” status must be evaluated as meeting expectation in annual review by both the personnel committee and the Director.</w:t>
      </w:r>
    </w:p>
    <w:p w14:paraId="12B940FF" w14:textId="77777777" w:rsidR="00B67C78" w:rsidRPr="00B67C78" w:rsidRDefault="00B67C78" w:rsidP="00B67C78">
      <w:pPr>
        <w:shd w:val="clear" w:color="auto" w:fill="FFFFFF"/>
        <w:spacing w:after="120" w:line="240" w:lineRule="auto"/>
        <w:ind w:left="720" w:right="-40" w:hanging="600"/>
        <w:rPr>
          <w:rFonts w:ascii="Arial" w:eastAsia="Times New Roman" w:hAnsi="Arial" w:cs="Arial"/>
          <w:color w:val="222222"/>
          <w:sz w:val="28"/>
          <w:szCs w:val="28"/>
        </w:rPr>
      </w:pPr>
      <w:r w:rsidRPr="00B67C78">
        <w:rPr>
          <w:rFonts w:ascii="Arial" w:eastAsia="Times New Roman" w:hAnsi="Arial" w:cs="Arial"/>
          <w:color w:val="222222"/>
          <w:sz w:val="28"/>
          <w:szCs w:val="28"/>
        </w:rPr>
        <w:t>04.</w:t>
      </w:r>
      <w:r w:rsidRPr="00B67C78">
        <w:rPr>
          <w:rFonts w:ascii="Arial" w:eastAsia="Times New Roman" w:hAnsi="Arial" w:cs="Arial"/>
          <w:color w:val="222222"/>
          <w:sz w:val="16"/>
          <w:szCs w:val="16"/>
        </w:rPr>
        <w:t>      </w:t>
      </w:r>
      <w:r w:rsidRPr="00B67C78">
        <w:rPr>
          <w:rFonts w:ascii="Arial" w:eastAsia="Times New Roman" w:hAnsi="Arial" w:cs="Arial"/>
          <w:color w:val="222222"/>
          <w:sz w:val="28"/>
          <w:szCs w:val="28"/>
        </w:rPr>
        <w:t>Procedures for Nominating Graduate Faculty—Regular Status and Associate Doctoral Status</w:t>
      </w:r>
    </w:p>
    <w:p w14:paraId="67FF43F6" w14:textId="77777777" w:rsidR="00B67C78" w:rsidRPr="00B67C78" w:rsidRDefault="00B67C78" w:rsidP="00B67C78">
      <w:pPr>
        <w:shd w:val="clear" w:color="auto" w:fill="FFFFFF"/>
        <w:spacing w:after="120" w:line="240" w:lineRule="auto"/>
        <w:ind w:left="1620" w:right="-40" w:hanging="900"/>
        <w:rPr>
          <w:rFonts w:ascii="Arial" w:eastAsia="Times New Roman" w:hAnsi="Arial" w:cs="Arial"/>
          <w:color w:val="222222"/>
          <w:sz w:val="28"/>
          <w:szCs w:val="28"/>
        </w:rPr>
      </w:pPr>
      <w:r w:rsidRPr="00B67C78">
        <w:rPr>
          <w:rFonts w:ascii="Arial" w:eastAsia="Times New Roman" w:hAnsi="Arial" w:cs="Arial"/>
          <w:color w:val="222222"/>
          <w:sz w:val="28"/>
          <w:szCs w:val="28"/>
        </w:rPr>
        <w:t xml:space="preserve">04.01 The term for regular graduate faculty or associate doctoral status is five years. Faculty appointed to regular status may teach master’s graduate courses, direct master’s theses, and serve on thesis committees. Faculty appointed to associate doctoral status may teach doctoral- level courses and serve on doctoral dissertation committees. Faculty applying for either status must submit a current Texas State Vita to the School’s graduate director, who then prepares a nomination/renomination form. The director, in consultation with the graduate committee, reviews the form, vita, and three most recent annual reviews (or alternative evidence for </w:t>
      </w:r>
      <w:r w:rsidRPr="00B67C78">
        <w:rPr>
          <w:rFonts w:ascii="Arial" w:eastAsia="Times New Roman" w:hAnsi="Arial" w:cs="Arial"/>
          <w:color w:val="222222"/>
          <w:sz w:val="28"/>
          <w:szCs w:val="28"/>
        </w:rPr>
        <w:lastRenderedPageBreak/>
        <w:t>recently hired faculty) to verify that the faculty member meets the criteria for graduate faculty membership. The director routes the application, via the School Director and college dean, to the graduate dean.</w:t>
      </w:r>
    </w:p>
    <w:p w14:paraId="46DF1F97" w14:textId="77777777" w:rsidR="00B67C78" w:rsidRPr="00B67C78" w:rsidRDefault="00B67C78" w:rsidP="00B67C78">
      <w:pPr>
        <w:shd w:val="clear" w:color="auto" w:fill="FFFFFF"/>
        <w:spacing w:after="120" w:line="240" w:lineRule="auto"/>
        <w:ind w:left="720" w:right="-40" w:hanging="600"/>
        <w:rPr>
          <w:rFonts w:ascii="Arial" w:eastAsia="Times New Roman" w:hAnsi="Arial" w:cs="Arial"/>
          <w:color w:val="222222"/>
          <w:sz w:val="28"/>
          <w:szCs w:val="28"/>
        </w:rPr>
      </w:pPr>
      <w:r w:rsidRPr="00B67C78">
        <w:rPr>
          <w:rFonts w:ascii="Arial" w:eastAsia="Times New Roman" w:hAnsi="Arial" w:cs="Arial"/>
          <w:color w:val="222222"/>
          <w:sz w:val="28"/>
          <w:szCs w:val="28"/>
        </w:rPr>
        <w:t>05.</w:t>
      </w:r>
      <w:r w:rsidRPr="00B67C78">
        <w:rPr>
          <w:rFonts w:ascii="Arial" w:eastAsia="Times New Roman" w:hAnsi="Arial" w:cs="Arial"/>
          <w:color w:val="222222"/>
          <w:sz w:val="16"/>
          <w:szCs w:val="16"/>
        </w:rPr>
        <w:t>      </w:t>
      </w:r>
      <w:r w:rsidRPr="00B67C78">
        <w:rPr>
          <w:rFonts w:ascii="Arial" w:eastAsia="Times New Roman" w:hAnsi="Arial" w:cs="Arial"/>
          <w:color w:val="222222"/>
          <w:sz w:val="28"/>
          <w:szCs w:val="28"/>
        </w:rPr>
        <w:t>Procedures for Nominating Graduate Faculty—Adjunct Status</w:t>
      </w:r>
    </w:p>
    <w:p w14:paraId="78CBBAEB" w14:textId="77777777" w:rsidR="00B67C78" w:rsidRPr="00B67C78" w:rsidRDefault="00B67C78" w:rsidP="00B67C78">
      <w:pPr>
        <w:shd w:val="clear" w:color="auto" w:fill="FFFFFF"/>
        <w:spacing w:after="120" w:line="240" w:lineRule="auto"/>
        <w:ind w:left="1620" w:right="-40" w:hanging="900"/>
        <w:rPr>
          <w:rFonts w:ascii="Arial" w:eastAsia="Times New Roman" w:hAnsi="Arial" w:cs="Arial"/>
          <w:color w:val="222222"/>
          <w:sz w:val="28"/>
          <w:szCs w:val="28"/>
        </w:rPr>
      </w:pPr>
      <w:r w:rsidRPr="00B67C78">
        <w:rPr>
          <w:rFonts w:ascii="Arial" w:eastAsia="Times New Roman" w:hAnsi="Arial" w:cs="Arial"/>
          <w:color w:val="222222"/>
          <w:sz w:val="28"/>
          <w:szCs w:val="28"/>
        </w:rPr>
        <w:t>05.01 Faculty who do not hold a terminal degree in the discipline may apply for adjunct status. Adjunct graduate faculty are appointed for one year, and their appointment allows them to teach a particular course (or courses) and/or to serve in a particular role as a thesis director/committee member. To apply for adjunct status, a faculty member must submit a current Texas State Vita to the School’s graduate director, who then prepares a nomination/re-nomination form. The director, in consultation with the graduate committee, reviews the form, vita, and three most recent annual reviews (or alternative evidence for recently hired faculty). For a faculty member who does not hold a terminal degree, the director must also prepare a justification form detailing alternative credentials that qualify the applicant for graduate faculty status. The director routes the application, via the School Director and college dean, to the graduate dean.</w:t>
      </w:r>
    </w:p>
    <w:p w14:paraId="3ACECC1F" w14:textId="77777777" w:rsidR="00B67C78" w:rsidRPr="00B67C78" w:rsidRDefault="00B67C78" w:rsidP="00B67C78">
      <w:pPr>
        <w:shd w:val="clear" w:color="auto" w:fill="FFFFFF"/>
        <w:spacing w:after="120" w:line="240" w:lineRule="auto"/>
        <w:ind w:left="720" w:right="-40" w:hanging="600"/>
        <w:rPr>
          <w:rFonts w:ascii="Arial" w:eastAsia="Times New Roman" w:hAnsi="Arial" w:cs="Arial"/>
          <w:color w:val="222222"/>
          <w:sz w:val="28"/>
          <w:szCs w:val="28"/>
        </w:rPr>
      </w:pPr>
      <w:r w:rsidRPr="00B67C78">
        <w:rPr>
          <w:rFonts w:ascii="Arial" w:eastAsia="Times New Roman" w:hAnsi="Arial" w:cs="Arial"/>
          <w:color w:val="222222"/>
          <w:sz w:val="28"/>
          <w:szCs w:val="28"/>
        </w:rPr>
        <w:t>06.</w:t>
      </w:r>
      <w:r w:rsidRPr="00B67C78">
        <w:rPr>
          <w:rFonts w:ascii="Arial" w:eastAsia="Times New Roman" w:hAnsi="Arial" w:cs="Arial"/>
          <w:color w:val="222222"/>
          <w:sz w:val="16"/>
          <w:szCs w:val="16"/>
        </w:rPr>
        <w:t>      </w:t>
      </w:r>
      <w:r w:rsidRPr="00B67C78">
        <w:rPr>
          <w:rFonts w:ascii="Arial" w:eastAsia="Times New Roman" w:hAnsi="Arial" w:cs="Arial"/>
          <w:color w:val="222222"/>
          <w:sz w:val="28"/>
          <w:szCs w:val="28"/>
        </w:rPr>
        <w:t>Applicants for graduate faculty status in the School of Health Administration must meet the following criteria:</w:t>
      </w:r>
    </w:p>
    <w:p w14:paraId="2A7999C1" w14:textId="77777777" w:rsidR="00B67C78" w:rsidRPr="00B67C78" w:rsidRDefault="00B67C78" w:rsidP="00B67C78">
      <w:pPr>
        <w:shd w:val="clear" w:color="auto" w:fill="FFFFFF"/>
        <w:spacing w:after="120" w:line="240" w:lineRule="auto"/>
        <w:ind w:left="1530" w:right="-40" w:hanging="810"/>
        <w:rPr>
          <w:rFonts w:ascii="Arial" w:eastAsia="Times New Roman" w:hAnsi="Arial" w:cs="Arial"/>
          <w:color w:val="222222"/>
          <w:sz w:val="24"/>
          <w:szCs w:val="24"/>
        </w:rPr>
      </w:pPr>
      <w:r w:rsidRPr="00B67C78">
        <w:rPr>
          <w:rFonts w:ascii="Arial" w:eastAsia="Times New Roman" w:hAnsi="Arial" w:cs="Arial"/>
          <w:color w:val="222222"/>
          <w:sz w:val="28"/>
          <w:szCs w:val="28"/>
        </w:rPr>
        <w:t>06.01 Possess a doctorate and a masters, one of which must be in the teaching discipline or an approved field closely related to the teaching discipline, from a CAHME, CEPH or AACSB accredited Program</w:t>
      </w:r>
    </w:p>
    <w:p w14:paraId="160C4873" w14:textId="77777777" w:rsidR="00B67C78" w:rsidRPr="00B67C78" w:rsidRDefault="00B67C78" w:rsidP="00B67C78">
      <w:pPr>
        <w:shd w:val="clear" w:color="auto" w:fill="FFFFFF"/>
        <w:spacing w:after="120" w:line="240" w:lineRule="auto"/>
        <w:ind w:left="1530" w:right="-40" w:hanging="810"/>
        <w:rPr>
          <w:rFonts w:ascii="Arial" w:eastAsia="Times New Roman" w:hAnsi="Arial" w:cs="Arial"/>
          <w:color w:val="222222"/>
          <w:sz w:val="24"/>
          <w:szCs w:val="24"/>
        </w:rPr>
      </w:pPr>
      <w:r w:rsidRPr="00B67C78">
        <w:rPr>
          <w:rFonts w:ascii="Arial" w:eastAsia="Times New Roman" w:hAnsi="Arial" w:cs="Arial"/>
          <w:color w:val="222222"/>
          <w:sz w:val="28"/>
          <w:szCs w:val="28"/>
        </w:rPr>
        <w:t>06.02 Show evidence of active research pertinent to the area of teaching specialization. “Evidence” consists of published articles, monographs, books, presentations at professional meetings, workshops, and/or funded grants.</w:t>
      </w:r>
    </w:p>
    <w:p w14:paraId="70441441" w14:textId="77777777" w:rsidR="00B67C78" w:rsidRPr="00B67C78" w:rsidRDefault="00B67C78" w:rsidP="00B67C78">
      <w:pPr>
        <w:shd w:val="clear" w:color="auto" w:fill="FFFFFF"/>
        <w:spacing w:after="120" w:line="240" w:lineRule="auto"/>
        <w:ind w:left="1530" w:right="-40" w:hanging="810"/>
        <w:rPr>
          <w:rFonts w:ascii="Arial" w:eastAsia="Times New Roman" w:hAnsi="Arial" w:cs="Arial"/>
          <w:color w:val="222222"/>
          <w:sz w:val="24"/>
          <w:szCs w:val="24"/>
        </w:rPr>
      </w:pPr>
      <w:r w:rsidRPr="00B67C78">
        <w:rPr>
          <w:rFonts w:ascii="Arial" w:eastAsia="Times New Roman" w:hAnsi="Arial" w:cs="Arial"/>
          <w:color w:val="222222"/>
          <w:sz w:val="28"/>
          <w:szCs w:val="28"/>
        </w:rPr>
        <w:t>06.03 Demonstrate service to the profession through membership and participating in professional societies.</w:t>
      </w:r>
    </w:p>
    <w:p w14:paraId="7EC9EF74" w14:textId="77777777" w:rsidR="00B67C78" w:rsidRPr="00B67C78" w:rsidRDefault="00B67C78" w:rsidP="00B67C78">
      <w:pPr>
        <w:shd w:val="clear" w:color="auto" w:fill="FFFFFF"/>
        <w:spacing w:after="120" w:line="240" w:lineRule="auto"/>
        <w:ind w:left="1530" w:right="-40" w:hanging="810"/>
        <w:rPr>
          <w:rFonts w:ascii="Arial" w:eastAsia="Times New Roman" w:hAnsi="Arial" w:cs="Arial"/>
          <w:color w:val="222222"/>
          <w:sz w:val="24"/>
          <w:szCs w:val="24"/>
        </w:rPr>
      </w:pPr>
      <w:r w:rsidRPr="00B67C78">
        <w:rPr>
          <w:rFonts w:ascii="Arial" w:eastAsia="Times New Roman" w:hAnsi="Arial" w:cs="Arial"/>
          <w:color w:val="222222"/>
          <w:sz w:val="28"/>
          <w:szCs w:val="28"/>
        </w:rPr>
        <w:t>06.04 Demonstrate currency in the field and a commitment to expanding personal knowledge by participation in relevant continuing education programs at the regional, state, or national level.</w:t>
      </w:r>
    </w:p>
    <w:p w14:paraId="23F4406F" w14:textId="77777777" w:rsidR="00B67C78" w:rsidRPr="00B67C78" w:rsidRDefault="00B67C78" w:rsidP="00B67C78">
      <w:pPr>
        <w:shd w:val="clear" w:color="auto" w:fill="FFFFFF"/>
        <w:spacing w:after="120" w:line="240" w:lineRule="auto"/>
        <w:ind w:left="720" w:right="-40" w:hanging="600"/>
        <w:rPr>
          <w:rFonts w:ascii="Arial" w:eastAsia="Times New Roman" w:hAnsi="Arial" w:cs="Arial"/>
          <w:color w:val="222222"/>
          <w:sz w:val="28"/>
          <w:szCs w:val="28"/>
        </w:rPr>
      </w:pPr>
      <w:r w:rsidRPr="00B67C78">
        <w:rPr>
          <w:rFonts w:ascii="Arial" w:eastAsia="Times New Roman" w:hAnsi="Arial" w:cs="Arial"/>
          <w:color w:val="222222"/>
          <w:sz w:val="28"/>
          <w:szCs w:val="28"/>
        </w:rPr>
        <w:lastRenderedPageBreak/>
        <w:t>07.</w:t>
      </w:r>
      <w:r w:rsidRPr="00B67C78">
        <w:rPr>
          <w:rFonts w:ascii="Arial" w:eastAsia="Times New Roman" w:hAnsi="Arial" w:cs="Arial"/>
          <w:color w:val="222222"/>
          <w:sz w:val="16"/>
          <w:szCs w:val="16"/>
        </w:rPr>
        <w:t>      </w:t>
      </w:r>
      <w:r w:rsidRPr="00B67C78">
        <w:rPr>
          <w:rFonts w:ascii="Arial" w:eastAsia="Times New Roman" w:hAnsi="Arial" w:cs="Arial"/>
          <w:color w:val="222222"/>
          <w:sz w:val="28"/>
          <w:szCs w:val="28"/>
        </w:rPr>
        <w:t>Applicants may be considered for the graduate faculty without a doctorate/masters in the teaching discipline or an approved field closely related to the teaching discipline, if the above referenced criteria are met and the applicant has significant work experience in the teaching field.</w:t>
      </w:r>
    </w:p>
    <w:p w14:paraId="0488330C" w14:textId="00438C95" w:rsidR="00943BB9" w:rsidRPr="00B67C78" w:rsidRDefault="00430B9B" w:rsidP="00B67C78">
      <w:pPr>
        <w:pStyle w:val="BodyText"/>
        <w:spacing w:after="120"/>
        <w:ind w:right="-446"/>
        <w:rPr>
          <w:rFonts w:ascii="Calibri" w:hAnsi="Calibri" w:cs="Calibri"/>
          <w:sz w:val="32"/>
          <w:szCs w:val="32"/>
        </w:rPr>
      </w:pPr>
    </w:p>
    <w:sectPr w:rsidR="00943BB9" w:rsidRPr="00B67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5E3"/>
    <w:multiLevelType w:val="hybridMultilevel"/>
    <w:tmpl w:val="D146F2D6"/>
    <w:lvl w:ilvl="0" w:tplc="FB3A8DF0">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357D0"/>
    <w:multiLevelType w:val="hybridMultilevel"/>
    <w:tmpl w:val="963CE3F8"/>
    <w:lvl w:ilvl="0" w:tplc="5E7C1C9A">
      <w:start w:val="1"/>
      <w:numFmt w:val="decimalZero"/>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94A68"/>
    <w:multiLevelType w:val="hybridMultilevel"/>
    <w:tmpl w:val="1B1202E4"/>
    <w:lvl w:ilvl="0" w:tplc="C78CE3C2">
      <w:start w:val="1"/>
      <w:numFmt w:val="decimalZero"/>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4115047B"/>
    <w:multiLevelType w:val="hybridMultilevel"/>
    <w:tmpl w:val="A03CC7AE"/>
    <w:lvl w:ilvl="0" w:tplc="AC781B46">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44C64"/>
    <w:multiLevelType w:val="hybridMultilevel"/>
    <w:tmpl w:val="ED8EDEFE"/>
    <w:lvl w:ilvl="0" w:tplc="3F562154">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002F9"/>
    <w:multiLevelType w:val="hybridMultilevel"/>
    <w:tmpl w:val="E2B61AF4"/>
    <w:lvl w:ilvl="0" w:tplc="0DE09790">
      <w:start w:val="1"/>
      <w:numFmt w:val="decimalZero"/>
      <w:lvlText w:val="%1."/>
      <w:lvlJc w:val="left"/>
      <w:pPr>
        <w:ind w:left="495" w:hanging="37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70901A3D"/>
    <w:multiLevelType w:val="hybridMultilevel"/>
    <w:tmpl w:val="3B082BCA"/>
    <w:lvl w:ilvl="0" w:tplc="2C38DD3E">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D50EF3"/>
    <w:multiLevelType w:val="hybridMultilevel"/>
    <w:tmpl w:val="4BA66C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12732036">
    <w:abstractNumId w:val="7"/>
  </w:num>
  <w:num w:numId="2" w16cid:durableId="144667447">
    <w:abstractNumId w:val="2"/>
  </w:num>
  <w:num w:numId="3" w16cid:durableId="567619653">
    <w:abstractNumId w:val="5"/>
  </w:num>
  <w:num w:numId="4" w16cid:durableId="807090080">
    <w:abstractNumId w:val="1"/>
  </w:num>
  <w:num w:numId="5" w16cid:durableId="1729525331">
    <w:abstractNumId w:val="6"/>
  </w:num>
  <w:num w:numId="6" w16cid:durableId="1902473654">
    <w:abstractNumId w:val="4"/>
  </w:num>
  <w:num w:numId="7" w16cid:durableId="1089354091">
    <w:abstractNumId w:val="0"/>
  </w:num>
  <w:num w:numId="8" w16cid:durableId="1033379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40"/>
    <w:rsid w:val="00023F75"/>
    <w:rsid w:val="001C5EC1"/>
    <w:rsid w:val="00206509"/>
    <w:rsid w:val="002D17A2"/>
    <w:rsid w:val="0033216A"/>
    <w:rsid w:val="00430B9B"/>
    <w:rsid w:val="00617ADB"/>
    <w:rsid w:val="00620FB9"/>
    <w:rsid w:val="006D7418"/>
    <w:rsid w:val="00741759"/>
    <w:rsid w:val="00762624"/>
    <w:rsid w:val="00765A40"/>
    <w:rsid w:val="00885E1D"/>
    <w:rsid w:val="008A26DA"/>
    <w:rsid w:val="009251A2"/>
    <w:rsid w:val="00A71EDE"/>
    <w:rsid w:val="00AD0CBD"/>
    <w:rsid w:val="00B07A1E"/>
    <w:rsid w:val="00B27CCA"/>
    <w:rsid w:val="00B60E89"/>
    <w:rsid w:val="00B67C78"/>
    <w:rsid w:val="00B80D9E"/>
    <w:rsid w:val="00DD625D"/>
    <w:rsid w:val="00DE7DD4"/>
    <w:rsid w:val="00F538F2"/>
    <w:rsid w:val="00F747AC"/>
    <w:rsid w:val="00F85C93"/>
    <w:rsid w:val="00FC3152"/>
    <w:rsid w:val="00FF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993B"/>
  <w15:chartTrackingRefBased/>
  <w15:docId w15:val="{17AA34ED-737C-4E53-90F5-D305BB5D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65A40"/>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65A40"/>
    <w:rPr>
      <w:rFonts w:ascii="Arial" w:eastAsia="Arial" w:hAnsi="Arial" w:cs="Arial"/>
      <w:sz w:val="20"/>
      <w:szCs w:val="20"/>
    </w:rPr>
  </w:style>
  <w:style w:type="character" w:styleId="Hyperlink">
    <w:name w:val="Hyperlink"/>
    <w:basedOn w:val="DefaultParagraphFont"/>
    <w:uiPriority w:val="99"/>
    <w:unhideWhenUsed/>
    <w:rsid w:val="00765A40"/>
    <w:rPr>
      <w:color w:val="0563C1" w:themeColor="hyperlink"/>
      <w:u w:val="single"/>
    </w:rPr>
  </w:style>
  <w:style w:type="paragraph" w:styleId="ListParagraph">
    <w:name w:val="List Paragraph"/>
    <w:basedOn w:val="Normal"/>
    <w:uiPriority w:val="34"/>
    <w:qFormat/>
    <w:rsid w:val="00762624"/>
    <w:pPr>
      <w:ind w:left="720"/>
      <w:contextualSpacing/>
    </w:pPr>
  </w:style>
  <w:style w:type="character" w:styleId="UnresolvedMention">
    <w:name w:val="Unresolved Mention"/>
    <w:basedOn w:val="DefaultParagraphFont"/>
    <w:uiPriority w:val="99"/>
    <w:semiHidden/>
    <w:unhideWhenUsed/>
    <w:rsid w:val="006D7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80349">
      <w:bodyDiv w:val="1"/>
      <w:marLeft w:val="0"/>
      <w:marRight w:val="0"/>
      <w:marTop w:val="0"/>
      <w:marBottom w:val="0"/>
      <w:divBdr>
        <w:top w:val="none" w:sz="0" w:space="0" w:color="auto"/>
        <w:left w:val="none" w:sz="0" w:space="0" w:color="auto"/>
        <w:bottom w:val="none" w:sz="0" w:space="0" w:color="auto"/>
        <w:right w:val="none" w:sz="0" w:space="0" w:color="auto"/>
      </w:divBdr>
    </w:div>
    <w:div w:id="19643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txstate.edu/division-policies/academic-affairs/04-01-30.html" TargetMode="External"/><Relationship Id="rId5" Type="http://schemas.openxmlformats.org/officeDocument/2006/relationships/hyperlink" Target="https://policies.txstate.edu/division-policies/academic-affairs/04-01-3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Scott</dc:creator>
  <cp:keywords/>
  <dc:description/>
  <cp:lastModifiedBy>Garcia, Robert A</cp:lastModifiedBy>
  <cp:revision>16</cp:revision>
  <dcterms:created xsi:type="dcterms:W3CDTF">2023-02-28T19:01:00Z</dcterms:created>
  <dcterms:modified xsi:type="dcterms:W3CDTF">2023-03-01T21:17:00Z</dcterms:modified>
</cp:coreProperties>
</file>