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1A" w:rsidRDefault="0091101A">
      <w:pPr>
        <w:pStyle w:val="BodyText"/>
        <w:rPr>
          <w:b/>
          <w:sz w:val="20"/>
        </w:rPr>
      </w:pPr>
    </w:p>
    <w:p w:rsidR="0091101A" w:rsidRDefault="0091101A">
      <w:pPr>
        <w:pStyle w:val="BodyText"/>
        <w:rPr>
          <w:b/>
          <w:sz w:val="20"/>
        </w:rPr>
      </w:pPr>
    </w:p>
    <w:p w:rsidR="0091101A" w:rsidRDefault="006630A6">
      <w:pPr>
        <w:pStyle w:val="Heading2"/>
        <w:spacing w:before="240"/>
        <w:ind w:left="1946" w:right="157"/>
        <w:rPr>
          <w:rFonts w:ascii="Candara"/>
        </w:rPr>
      </w:pPr>
      <w:bookmarkStart w:id="0" w:name="_GoBack"/>
      <w:bookmarkEnd w:id="0"/>
      <w:r>
        <w:rPr>
          <w:rFonts w:ascii="Candara"/>
        </w:rPr>
        <w:t>Inst</w:t>
      </w:r>
      <w:r>
        <w:rPr>
          <w:rFonts w:ascii="Candara"/>
        </w:rPr>
        <w:t>ructions for the Health Scholar Showcase Poster Session</w:t>
      </w:r>
    </w:p>
    <w:p w:rsidR="0091101A" w:rsidRDefault="0091101A">
      <w:pPr>
        <w:pStyle w:val="BodyText"/>
        <w:spacing w:before="4"/>
        <w:rPr>
          <w:b/>
          <w:sz w:val="24"/>
        </w:rPr>
      </w:pPr>
    </w:p>
    <w:p w:rsidR="0091101A" w:rsidRDefault="006630A6">
      <w:pPr>
        <w:spacing w:before="1" w:line="288" w:lineRule="auto"/>
        <w:ind w:left="100" w:right="254"/>
      </w:pPr>
      <w:r>
        <w:rPr>
          <w:b/>
        </w:rPr>
        <w:t xml:space="preserve">Each College is invited to select and design up to six thematic academic-style posters for the Scholar Showcase. </w:t>
      </w:r>
      <w:r>
        <w:t xml:space="preserve">University-level Centers may submit up to two posters for the event. The posters will </w:t>
      </w:r>
      <w:r>
        <w:t>be on display in the Performing Arts Center lobby for the duration of the event. Sample poster templates and additional event information are available on the Translational Health Research Initiative Faculty Commons site.</w:t>
      </w:r>
    </w:p>
    <w:p w:rsidR="0091101A" w:rsidRDefault="0091101A">
      <w:pPr>
        <w:pStyle w:val="BodyText"/>
        <w:spacing w:before="7"/>
        <w:rPr>
          <w:sz w:val="19"/>
        </w:rPr>
      </w:pPr>
    </w:p>
    <w:p w:rsidR="0091101A" w:rsidRDefault="006630A6">
      <w:pPr>
        <w:pStyle w:val="ListParagraph"/>
        <w:numPr>
          <w:ilvl w:val="0"/>
          <w:numId w:val="1"/>
        </w:numPr>
        <w:tabs>
          <w:tab w:val="left" w:pos="822"/>
        </w:tabs>
        <w:spacing w:line="285" w:lineRule="auto"/>
        <w:ind w:right="429"/>
      </w:pPr>
      <w:r>
        <w:t xml:space="preserve">The primary focus of each poster </w:t>
      </w:r>
      <w:r>
        <w:t xml:space="preserve">should be </w:t>
      </w:r>
      <w:r>
        <w:rPr>
          <w:b/>
        </w:rPr>
        <w:t xml:space="preserve">faculty-led health research </w:t>
      </w:r>
      <w:r>
        <w:t>and sponsored programs. Posters should visually demonstrate current and future health research activities and sponsored programs in the</w:t>
      </w:r>
      <w:r>
        <w:rPr>
          <w:spacing w:val="-4"/>
        </w:rPr>
        <w:t xml:space="preserve"> </w:t>
      </w:r>
      <w:r>
        <w:t>College.</w:t>
      </w:r>
    </w:p>
    <w:p w:rsidR="0091101A" w:rsidRDefault="006630A6">
      <w:pPr>
        <w:pStyle w:val="ListParagraph"/>
        <w:numPr>
          <w:ilvl w:val="0"/>
          <w:numId w:val="1"/>
        </w:numPr>
        <w:tabs>
          <w:tab w:val="left" w:pos="822"/>
        </w:tabs>
        <w:spacing w:before="4" w:line="288" w:lineRule="auto"/>
      </w:pPr>
      <w:r>
        <w:t>Posters may feature research teams, sponsored projects, College centers, health research core facilities, labs, specialized equipment, or support programs used in research activities. Other options for poster content include single investigator/study poste</w:t>
      </w:r>
      <w:r>
        <w:t>rs, poster highlighting future research initiatives and goals, and/or posters featuring an integrative program of research, teaching and service activities involving faculty and</w:t>
      </w:r>
      <w:r>
        <w:rPr>
          <w:spacing w:val="-14"/>
        </w:rPr>
        <w:t xml:space="preserve"> </w:t>
      </w:r>
      <w:r>
        <w:t>students.</w:t>
      </w:r>
    </w:p>
    <w:p w:rsidR="0091101A" w:rsidRDefault="006630A6">
      <w:pPr>
        <w:pStyle w:val="ListParagraph"/>
        <w:numPr>
          <w:ilvl w:val="0"/>
          <w:numId w:val="1"/>
        </w:numPr>
        <w:tabs>
          <w:tab w:val="left" w:pos="822"/>
        </w:tabs>
        <w:spacing w:line="285" w:lineRule="auto"/>
        <w:ind w:right="625"/>
      </w:pPr>
      <w:r>
        <w:t>No more than one poster from each College should focus exclusively on a single investigator or study. Individual investigators and studies can be part of a larger poster</w:t>
      </w:r>
      <w:r>
        <w:rPr>
          <w:spacing w:val="-26"/>
        </w:rPr>
        <w:t xml:space="preserve"> </w:t>
      </w:r>
      <w:r>
        <w:t>theme.</w:t>
      </w:r>
    </w:p>
    <w:p w:rsidR="0091101A" w:rsidRDefault="006630A6">
      <w:pPr>
        <w:pStyle w:val="ListParagraph"/>
        <w:numPr>
          <w:ilvl w:val="0"/>
          <w:numId w:val="1"/>
        </w:numPr>
        <w:tabs>
          <w:tab w:val="left" w:pos="822"/>
        </w:tabs>
        <w:spacing w:before="2" w:line="288" w:lineRule="auto"/>
        <w:ind w:right="277"/>
      </w:pPr>
      <w:r>
        <w:t>No more than one poster from each College should be used to promote future heal</w:t>
      </w:r>
      <w:r>
        <w:t>th research and sponsored program goals among faculty or units in the College. This information can also be integrated into other poster</w:t>
      </w:r>
      <w:r>
        <w:rPr>
          <w:spacing w:val="-6"/>
        </w:rPr>
        <w:t xml:space="preserve"> </w:t>
      </w:r>
      <w:r>
        <w:t>formats.</w:t>
      </w:r>
    </w:p>
    <w:p w:rsidR="0091101A" w:rsidRDefault="006630A6">
      <w:pPr>
        <w:pStyle w:val="ListParagraph"/>
        <w:numPr>
          <w:ilvl w:val="0"/>
          <w:numId w:val="1"/>
        </w:numPr>
        <w:tabs>
          <w:tab w:val="left" w:pos="822"/>
        </w:tabs>
        <w:spacing w:line="285" w:lineRule="auto"/>
        <w:ind w:right="321"/>
      </w:pPr>
      <w:r>
        <w:t>No more than one poster from each College may be used to showcase integrative health research, teaching, and/o</w:t>
      </w:r>
      <w:r>
        <w:t>r service activities involving students and faculty, but the research aspect of the program should be the central focus of the</w:t>
      </w:r>
      <w:r>
        <w:rPr>
          <w:spacing w:val="-10"/>
        </w:rPr>
        <w:t xml:space="preserve"> </w:t>
      </w:r>
      <w:r>
        <w:t>poster.</w:t>
      </w:r>
    </w:p>
    <w:p w:rsidR="0091101A" w:rsidRDefault="006630A6">
      <w:pPr>
        <w:pStyle w:val="ListParagraph"/>
        <w:numPr>
          <w:ilvl w:val="0"/>
          <w:numId w:val="1"/>
        </w:numPr>
        <w:tabs>
          <w:tab w:val="left" w:pos="812"/>
        </w:tabs>
        <w:spacing w:before="5" w:line="285" w:lineRule="auto"/>
        <w:ind w:left="811" w:right="613"/>
        <w:rPr>
          <w:b/>
        </w:rPr>
      </w:pPr>
      <w:r>
        <w:t>Examples of real-world applications of research findings, and/or translational research activities pursued in collaborati</w:t>
      </w:r>
      <w:r>
        <w:t xml:space="preserve">on with alumni, community, or industry partners </w:t>
      </w:r>
      <w:r>
        <w:rPr>
          <w:b/>
        </w:rPr>
        <w:t>are</w:t>
      </w:r>
      <w:r>
        <w:rPr>
          <w:b/>
          <w:spacing w:val="-25"/>
        </w:rPr>
        <w:t xml:space="preserve"> </w:t>
      </w:r>
      <w:r>
        <w:rPr>
          <w:b/>
        </w:rPr>
        <w:t>encouraged.</w:t>
      </w:r>
    </w:p>
    <w:p w:rsidR="0091101A" w:rsidRDefault="006630A6">
      <w:pPr>
        <w:pStyle w:val="ListParagraph"/>
        <w:numPr>
          <w:ilvl w:val="0"/>
          <w:numId w:val="1"/>
        </w:numPr>
        <w:tabs>
          <w:tab w:val="left" w:pos="812"/>
        </w:tabs>
        <w:spacing w:before="2" w:line="288" w:lineRule="auto"/>
        <w:ind w:left="811" w:right="196"/>
      </w:pPr>
      <w:r>
        <w:t xml:space="preserve">Each College may also submit up to one demonstration project that provides a hands-on experience for Health Scholar Showcase participants. Please contact Melinda </w:t>
      </w:r>
      <w:proofErr w:type="spellStart"/>
      <w:r>
        <w:t>Villagran</w:t>
      </w:r>
      <w:proofErr w:type="spellEnd"/>
      <w:r>
        <w:t xml:space="preserve"> for details about po</w:t>
      </w:r>
      <w:r>
        <w:t>tential demonstration project</w:t>
      </w:r>
      <w:r>
        <w:rPr>
          <w:spacing w:val="-9"/>
        </w:rPr>
        <w:t xml:space="preserve"> </w:t>
      </w:r>
      <w:r>
        <w:t>opportunities.</w:t>
      </w:r>
    </w:p>
    <w:p w:rsidR="0091101A" w:rsidRDefault="0091101A">
      <w:pPr>
        <w:pStyle w:val="BodyText"/>
      </w:pPr>
    </w:p>
    <w:p w:rsidR="0091101A" w:rsidRDefault="006630A6">
      <w:pPr>
        <w:pStyle w:val="Heading2"/>
        <w:spacing w:line="288" w:lineRule="auto"/>
      </w:pPr>
      <w:r>
        <w:rPr>
          <w:color w:val="691717"/>
        </w:rPr>
        <w:t>Prizes will be awarded for the best posters, and light refreshments will be served during the Scholar Showcase poster session. We hope to see you there!</w:t>
      </w:r>
    </w:p>
    <w:sectPr w:rsidR="0091101A">
      <w:pgSz w:w="12240" w:h="15840"/>
      <w:pgMar w:top="720" w:right="9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535A"/>
    <w:multiLevelType w:val="hybridMultilevel"/>
    <w:tmpl w:val="D61A1C58"/>
    <w:lvl w:ilvl="0" w:tplc="A4F61508">
      <w:start w:val="1"/>
      <w:numFmt w:val="bullet"/>
      <w:lvlText w:val=""/>
      <w:lvlJc w:val="left"/>
      <w:pPr>
        <w:ind w:left="821" w:hanging="360"/>
      </w:pPr>
      <w:rPr>
        <w:rFonts w:ascii="Symbol" w:eastAsia="Symbol" w:hAnsi="Symbol" w:cs="Symbol" w:hint="default"/>
        <w:w w:val="100"/>
        <w:sz w:val="22"/>
        <w:szCs w:val="22"/>
      </w:rPr>
    </w:lvl>
    <w:lvl w:ilvl="1" w:tplc="3F0E66D4">
      <w:start w:val="1"/>
      <w:numFmt w:val="bullet"/>
      <w:lvlText w:val="•"/>
      <w:lvlJc w:val="left"/>
      <w:pPr>
        <w:ind w:left="1762" w:hanging="360"/>
      </w:pPr>
      <w:rPr>
        <w:rFonts w:hint="default"/>
      </w:rPr>
    </w:lvl>
    <w:lvl w:ilvl="2" w:tplc="3C8C4F62">
      <w:start w:val="1"/>
      <w:numFmt w:val="bullet"/>
      <w:lvlText w:val="•"/>
      <w:lvlJc w:val="left"/>
      <w:pPr>
        <w:ind w:left="2704" w:hanging="360"/>
      </w:pPr>
      <w:rPr>
        <w:rFonts w:hint="default"/>
      </w:rPr>
    </w:lvl>
    <w:lvl w:ilvl="3" w:tplc="E7D46916">
      <w:start w:val="1"/>
      <w:numFmt w:val="bullet"/>
      <w:lvlText w:val="•"/>
      <w:lvlJc w:val="left"/>
      <w:pPr>
        <w:ind w:left="3646" w:hanging="360"/>
      </w:pPr>
      <w:rPr>
        <w:rFonts w:hint="default"/>
      </w:rPr>
    </w:lvl>
    <w:lvl w:ilvl="4" w:tplc="F692CAA2">
      <w:start w:val="1"/>
      <w:numFmt w:val="bullet"/>
      <w:lvlText w:val="•"/>
      <w:lvlJc w:val="left"/>
      <w:pPr>
        <w:ind w:left="4588" w:hanging="360"/>
      </w:pPr>
      <w:rPr>
        <w:rFonts w:hint="default"/>
      </w:rPr>
    </w:lvl>
    <w:lvl w:ilvl="5" w:tplc="365A86EC">
      <w:start w:val="1"/>
      <w:numFmt w:val="bullet"/>
      <w:lvlText w:val="•"/>
      <w:lvlJc w:val="left"/>
      <w:pPr>
        <w:ind w:left="5530" w:hanging="360"/>
      </w:pPr>
      <w:rPr>
        <w:rFonts w:hint="default"/>
      </w:rPr>
    </w:lvl>
    <w:lvl w:ilvl="6" w:tplc="9CCA73E8">
      <w:start w:val="1"/>
      <w:numFmt w:val="bullet"/>
      <w:lvlText w:val="•"/>
      <w:lvlJc w:val="left"/>
      <w:pPr>
        <w:ind w:left="6472" w:hanging="360"/>
      </w:pPr>
      <w:rPr>
        <w:rFonts w:hint="default"/>
      </w:rPr>
    </w:lvl>
    <w:lvl w:ilvl="7" w:tplc="163EC31A">
      <w:start w:val="1"/>
      <w:numFmt w:val="bullet"/>
      <w:lvlText w:val="•"/>
      <w:lvlJc w:val="left"/>
      <w:pPr>
        <w:ind w:left="7414" w:hanging="360"/>
      </w:pPr>
      <w:rPr>
        <w:rFonts w:hint="default"/>
      </w:rPr>
    </w:lvl>
    <w:lvl w:ilvl="8" w:tplc="57246632">
      <w:start w:val="1"/>
      <w:numFmt w:val="bullet"/>
      <w:lvlText w:val="•"/>
      <w:lvlJc w:val="left"/>
      <w:pPr>
        <w:ind w:left="83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1A"/>
    <w:rsid w:val="006630A6"/>
    <w:rsid w:val="0091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A32"/>
  <w15:docId w15:val="{2529E1DB-61AF-482F-8AE3-473A4CE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line="1035" w:lineRule="exact"/>
      <w:ind w:left="212" w:right="79"/>
      <w:outlineLvl w:val="0"/>
    </w:pPr>
    <w:rPr>
      <w:b/>
      <w:bCs/>
      <w:sz w:val="96"/>
      <w:szCs w:val="96"/>
    </w:rPr>
  </w:style>
  <w:style w:type="paragraph" w:styleId="Heading2">
    <w:name w:val="heading 2"/>
    <w:basedOn w:val="Normal"/>
    <w:uiPriority w:val="1"/>
    <w:qFormat/>
    <w:pPr>
      <w:spacing w:before="149"/>
      <w:ind w:left="100" w:right="9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right="19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Hetherly, Kay L</cp:lastModifiedBy>
  <cp:revision>2</cp:revision>
  <dcterms:created xsi:type="dcterms:W3CDTF">2017-01-23T21:55:00Z</dcterms:created>
  <dcterms:modified xsi:type="dcterms:W3CDTF">2017-01-23T21:55:00Z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Word 2016</vt:lpwstr>
  </property>
  <property fmtid="{D5CDD505-2E9C-101B-9397-08002B2CF9AE}" pid="4" name="LastSaved">
    <vt:filetime>2017-01-23T00:00:00Z</vt:filetime>
  </property>
</Properties>
</file>