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www.txstate.edu.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lagging,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Macquarie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00:06:17]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majority-minority,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pro-business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cross-disciplinary,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Caitlin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that,.that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innovator.So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persuade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re-engaging,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cie@txstate.edu.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boggling.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Josh Daspit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00:26:34], with technical assistance provided by Manuel Garcia. Strategic consultant is Kelly 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Episode 24_SCALEUP (Completed  01/03/22)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7xIA-j56PyeRacBRiENGKfDwJkcBhnZFiQGBto1NP6BpByUY6mbWAEedes4YP89MYdM8zCSjVy2HdGEySuaaoIwdv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