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041C4C8F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52</w:t>
      </w:r>
      <w:r w:rsidR="00873C15">
        <w:rPr>
          <w:b/>
        </w:rPr>
        <w:t>7</w:t>
      </w:r>
      <w:r w:rsidR="00DF2C7A">
        <w:rPr>
          <w:b/>
        </w:rPr>
        <w:t xml:space="preserve">5 Developmental Models Across the </w:t>
      </w:r>
      <w:proofErr w:type="spellStart"/>
      <w:r w:rsidR="00DF2C7A">
        <w:rPr>
          <w:b/>
        </w:rPr>
        <w:t>Lifespane</w:t>
      </w:r>
      <w:r w:rsidR="00F156DC">
        <w:rPr>
          <w:b/>
        </w:rPr>
        <w:t>Practicum</w:t>
      </w:r>
      <w:proofErr w:type="spellEnd"/>
    </w:p>
    <w:p w14:paraId="5CFB39DD" w14:textId="2873827F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SUMMATIVE CLINICAL</w:t>
      </w:r>
      <w:r w:rsidRPr="00991BF3">
        <w:rPr>
          <w:b/>
          <w:u w:val="single"/>
        </w:rPr>
        <w:t xml:space="preserve"> FACULTY</w:t>
      </w:r>
      <w:r>
        <w:rPr>
          <w:b/>
        </w:rPr>
        <w:t xml:space="preserve">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08A2C142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DF2C7A">
        <w:t>230</w:t>
      </w:r>
      <w:r>
        <w:t xml:space="preserve">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381F1CC6" w:rsidR="000B4933" w:rsidRPr="00641D2F" w:rsidRDefault="00DF2C7A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Participates in obtaining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complete, and timely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068387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Utilizes pertinent </w:t>
            </w:r>
            <w:r w:rsidR="00DF2C7A">
              <w:rPr>
                <w:rFonts w:eastAsia="Times New Roman"/>
                <w:color w:val="000000"/>
                <w:sz w:val="20"/>
                <w:szCs w:val="20"/>
              </w:rPr>
              <w:t>factors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in history to arrive at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41A9B649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Therapeutically elicits conflict, abuse, sexuality, and other difficult content in history.  </w:t>
            </w:r>
          </w:p>
        </w:tc>
        <w:tc>
          <w:tcPr>
            <w:tcW w:w="1702" w:type="dxa"/>
          </w:tcPr>
          <w:p w14:paraId="535976BD" w14:textId="4CC6D1D5" w:rsidR="004B70EC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2545889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</w:t>
            </w:r>
            <w:r w:rsidR="00DF2C7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comprehensive or focused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60B1A514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Participates in</w:t>
            </w:r>
            <w:r w:rsidR="000B4933"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B10BEAB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setting.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Addresses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35422FAB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7C9E3108" w:rsidR="000B4933" w:rsidRPr="00641D2F" w:rsidRDefault="00DF2C7A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Identifies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 xml:space="preserve"> the impact of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="000B4933"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26612243" w:rsidR="000B4933" w:rsidRPr="00641D2F" w:rsidRDefault="00DF2C7A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Lists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 xml:space="preserve">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="000B4933"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2DED3971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Uses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data from evidence and best available resources to assist clinical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494E58CA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pathophysiological or psychosocial connections to support diagnoses</w:t>
            </w:r>
            <w:r w:rsidR="000B4933"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A77059B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accurate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(primary)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5F264B0B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Participates in ordering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appropriate tests, procedures, or screenings while maintaining fiscal</w:t>
            </w:r>
            <w:r w:rsidR="000B4933"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61AB4543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161571DD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Participates in the management of </w:t>
            </w:r>
            <w:r w:rsidR="000B4933" w:rsidRPr="00641D2F">
              <w:rPr>
                <w:sz w:val="20"/>
              </w:rPr>
              <w:t>health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and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</w:t>
            </w:r>
            <w:r w:rsidR="000B4933" w:rsidRPr="00641D2F">
              <w:rPr>
                <w:spacing w:val="-3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mental</w:t>
            </w:r>
            <w:r w:rsidR="000B4933" w:rsidRPr="00641D2F">
              <w:rPr>
                <w:spacing w:val="-2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="000B4933" w:rsidRPr="00641D2F">
              <w:rPr>
                <w:spacing w:val="-4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</w:t>
            </w:r>
            <w:r>
              <w:rPr>
                <w:sz w:val="20"/>
              </w:rPr>
              <w:t>across the lifespan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>
              <w:rPr>
                <w:sz w:val="20"/>
              </w:rPr>
              <w:t>, i</w:t>
            </w:r>
            <w:r w:rsidR="003E2041">
              <w:rPr>
                <w:sz w:val="20"/>
              </w:rPr>
              <w:t xml:space="preserve">ncluding applying recovery-oriented principles, </w:t>
            </w:r>
            <w:r>
              <w:rPr>
                <w:sz w:val="20"/>
              </w:rPr>
              <w:t xml:space="preserve">and </w:t>
            </w:r>
            <w:r w:rsidR="003E2041">
              <w:rPr>
                <w:sz w:val="20"/>
              </w:rPr>
              <w:t>mitigation strategies in areas of opiate/substance abuse (as applicable for setting).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B1AEB" w:rsidRPr="00641D2F" w14:paraId="605CEE2E" w14:textId="77777777" w:rsidTr="0022685C">
        <w:tc>
          <w:tcPr>
            <w:tcW w:w="6727" w:type="dxa"/>
          </w:tcPr>
          <w:p w14:paraId="2BFD72FD" w14:textId="3909F1FD" w:rsidR="00AB1AEB" w:rsidRDefault="00AB1AE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Understands processes of reporting abuse/neglect, involuntary hospitalization, end of life considerations, and residential treatment as applicable in setting.</w:t>
            </w:r>
          </w:p>
        </w:tc>
        <w:tc>
          <w:tcPr>
            <w:tcW w:w="1702" w:type="dxa"/>
          </w:tcPr>
          <w:p w14:paraId="35312476" w14:textId="4D954908" w:rsidR="00AB1AE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508075" w14:textId="77777777" w:rsidR="00AB1AEB" w:rsidRPr="00641D2F" w:rsidRDefault="00AB1AE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4DBC06C1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appropriately and safely</w:t>
            </w:r>
            <w:r w:rsidR="004B70EC">
              <w:rPr>
                <w:sz w:val="20"/>
              </w:rPr>
              <w:t xml:space="preserve"> including use of restraints  or seclusion if necessary.</w:t>
            </w:r>
          </w:p>
        </w:tc>
        <w:tc>
          <w:tcPr>
            <w:tcW w:w="1702" w:type="dxa"/>
          </w:tcPr>
          <w:p w14:paraId="532E0147" w14:textId="575E03DB" w:rsidR="0007413B" w:rsidRPr="00641D2F" w:rsidRDefault="00AB1AE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6446D245" w:rsidR="000B4933" w:rsidRPr="00641D2F" w:rsidRDefault="00DF2C7A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Participates in safely</w:t>
            </w:r>
            <w:r w:rsidR="000B4933" w:rsidRPr="00641D2F">
              <w:rPr>
                <w:sz w:val="20"/>
              </w:rPr>
              <w:t xml:space="preserve"> prescrib</w:t>
            </w:r>
            <w:r>
              <w:rPr>
                <w:sz w:val="20"/>
              </w:rPr>
              <w:t>ing</w:t>
            </w:r>
            <w:r w:rsidR="000B4933" w:rsidRPr="00641D2F">
              <w:rPr>
                <w:sz w:val="20"/>
              </w:rPr>
              <w:t xml:space="preserve"> medications </w:t>
            </w:r>
            <w:r w:rsidR="00F156DC">
              <w:rPr>
                <w:sz w:val="20"/>
              </w:rPr>
              <w:t>demonstrating understanding of psychopharmacologic</w:t>
            </w:r>
            <w:r w:rsidR="000B4933" w:rsidRPr="00641D2F">
              <w:rPr>
                <w:sz w:val="20"/>
              </w:rPr>
              <w:t xml:space="preserve"> pharmacodynamics and pharmacokinetics</w:t>
            </w:r>
            <w:r w:rsidR="000B4933" w:rsidRPr="00641D2F">
              <w:rPr>
                <w:spacing w:val="-20"/>
                <w:sz w:val="20"/>
              </w:rPr>
              <w:t xml:space="preserve"> </w:t>
            </w:r>
            <w:r w:rsidR="000B4933" w:rsidRPr="00641D2F">
              <w:rPr>
                <w:sz w:val="20"/>
              </w:rPr>
              <w:t>for patients across the lifespan</w:t>
            </w:r>
            <w:r w:rsidR="0007413B">
              <w:rPr>
                <w:sz w:val="20"/>
              </w:rPr>
              <w:t xml:space="preserve"> using best practice guidelines</w:t>
            </w:r>
            <w:r w:rsidR="000B4933" w:rsidRPr="00641D2F">
              <w:rPr>
                <w:sz w:val="20"/>
              </w:rPr>
              <w:t>.*</w:t>
            </w:r>
            <w:r>
              <w:rPr>
                <w:sz w:val="20"/>
              </w:rPr>
              <w:t xml:space="preserve"> (Student cannot submit RX orders or sign)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12E7C099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>M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ak</w:t>
            </w:r>
            <w:r>
              <w:rPr>
                <w:rFonts w:ascii="Calibri Light" w:hAnsi="Calibri Light" w:cs="Calibri Light"/>
                <w:sz w:val="20"/>
              </w:rPr>
              <w:t>es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="000B4933"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for</w:t>
            </w:r>
            <w:r w:rsidR="000B4933"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="000B4933"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535C9EC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lastRenderedPageBreak/>
              <w:t>Designates follow up, consults, referrals in a timely manner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with assistance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29FA0585" w:rsidR="000B4933" w:rsidRPr="00641D2F" w:rsidRDefault="00DF2C7A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Participates in accurate documentation 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using SOAP or designated format for practice setting; develops and/or updates patient problem list and plan. </w:t>
            </w:r>
            <w:r>
              <w:rPr>
                <w:rFonts w:ascii="Calibri Light" w:hAnsi="Calibri Light" w:cs="Calibri Light"/>
                <w:sz w:val="20"/>
              </w:rPr>
              <w:t>Identifies</w:t>
            </w:r>
            <w:r w:rsidR="000B4933" w:rsidRPr="00641D2F">
              <w:rPr>
                <w:rFonts w:ascii="Calibri Light" w:hAnsi="Calibri Light" w:cs="Calibri Light"/>
                <w:sz w:val="20"/>
              </w:rPr>
              <w:t xml:space="preserve">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0A241B66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</w:t>
            </w:r>
            <w:r w:rsidR="00DF2C7A">
              <w:rPr>
                <w:rFonts w:ascii="Calibri Light" w:hAnsi="Calibri Light" w:cs="Calibri Light"/>
                <w:sz w:val="20"/>
              </w:rPr>
              <w:t xml:space="preserve"> and </w:t>
            </w:r>
            <w:r w:rsidRPr="00641D2F">
              <w:rPr>
                <w:rFonts w:ascii="Calibri Light" w:hAnsi="Calibri Light" w:cs="Calibri Light"/>
                <w:sz w:val="20"/>
              </w:rPr>
              <w:t>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lastRenderedPageBreak/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DF2C7A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DF2C7A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691DD564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2E4C80">
      <w:rPr>
        <w:noProof/>
        <w:sz w:val="16"/>
      </w:rPr>
      <w:t>6/12/20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2E4C80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2041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35C5"/>
    <w:rsid w:val="0074528D"/>
    <w:rsid w:val="0078483C"/>
    <w:rsid w:val="007B1A8D"/>
    <w:rsid w:val="008356B2"/>
    <w:rsid w:val="008623B5"/>
    <w:rsid w:val="00873C15"/>
    <w:rsid w:val="008746C7"/>
    <w:rsid w:val="008E5304"/>
    <w:rsid w:val="008F2CCC"/>
    <w:rsid w:val="00934010"/>
    <w:rsid w:val="00936683"/>
    <w:rsid w:val="00963A8B"/>
    <w:rsid w:val="009719ED"/>
    <w:rsid w:val="00973941"/>
    <w:rsid w:val="00991BF3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B1AEB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E6C37"/>
    <w:rsid w:val="00CF2EC7"/>
    <w:rsid w:val="00D21A71"/>
    <w:rsid w:val="00D338AE"/>
    <w:rsid w:val="00D36E7D"/>
    <w:rsid w:val="00D752E3"/>
    <w:rsid w:val="00D961F3"/>
    <w:rsid w:val="00DA34A7"/>
    <w:rsid w:val="00DB701C"/>
    <w:rsid w:val="00DF2C7A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3</cp:revision>
  <dcterms:created xsi:type="dcterms:W3CDTF">2020-06-12T14:21:00Z</dcterms:created>
  <dcterms:modified xsi:type="dcterms:W3CDTF">2020-06-12T14:28:00Z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