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CA13" w14:textId="77777777" w:rsidR="00B37EFF" w:rsidRPr="00332FDA" w:rsidRDefault="00B37EFF" w:rsidP="00D73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B4FCE9" w14:textId="77777777" w:rsidR="00B37EFF" w:rsidRPr="00D70419" w:rsidRDefault="00B37EFF" w:rsidP="00D73EB3">
      <w:pPr>
        <w:spacing w:after="0" w:line="240" w:lineRule="auto"/>
        <w:rPr>
          <w:rFonts w:ascii="Arial" w:hAnsi="Arial" w:cs="Arial"/>
          <w:sz w:val="24"/>
        </w:rPr>
      </w:pPr>
    </w:p>
    <w:p w14:paraId="320B65E0" w14:textId="77777777" w:rsidR="008D624A" w:rsidRDefault="008D624A" w:rsidP="00D73EB3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sz w:val="24"/>
        </w:rPr>
      </w:pPr>
    </w:p>
    <w:p w14:paraId="3B5777D2" w14:textId="030BE933" w:rsidR="00B37EFF" w:rsidRPr="00D70419" w:rsidRDefault="00B37EFF" w:rsidP="00D73EB3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Credit by Examination </w:t>
      </w:r>
      <w:r>
        <w:rPr>
          <w:rFonts w:ascii="Arial" w:hAnsi="Arial" w:cs="Arial"/>
          <w:b/>
          <w:bCs/>
          <w:sz w:val="24"/>
        </w:rPr>
        <w:tab/>
        <w:t>AA/PPS No. 02.02.10</w:t>
      </w:r>
    </w:p>
    <w:p w14:paraId="259C92D3" w14:textId="089D80DB" w:rsidR="00B37EFF" w:rsidRDefault="00B37EFF" w:rsidP="00D73EB3">
      <w:pPr>
        <w:spacing w:after="0" w:line="240" w:lineRule="auto"/>
        <w:ind w:left="5040"/>
        <w:rPr>
          <w:rFonts w:ascii="Arial" w:hAnsi="Arial" w:cs="Arial"/>
          <w:b/>
          <w:bCs/>
          <w:sz w:val="24"/>
        </w:rPr>
      </w:pPr>
      <w:r w:rsidRPr="00D70419">
        <w:rPr>
          <w:rFonts w:ascii="Arial" w:hAnsi="Arial" w:cs="Arial"/>
          <w:b/>
          <w:bCs/>
          <w:sz w:val="24"/>
        </w:rPr>
        <w:t xml:space="preserve">Issue No. </w:t>
      </w:r>
      <w:r w:rsidR="009E083A">
        <w:rPr>
          <w:rFonts w:ascii="Arial" w:hAnsi="Arial" w:cs="Arial"/>
          <w:b/>
          <w:bCs/>
          <w:sz w:val="24"/>
        </w:rPr>
        <w:t>4</w:t>
      </w:r>
    </w:p>
    <w:p w14:paraId="02B972D6" w14:textId="46E982AB" w:rsidR="00B37EFF" w:rsidRDefault="00B37EFF" w:rsidP="00D73EB3">
      <w:pPr>
        <w:spacing w:after="0" w:line="240" w:lineRule="auto"/>
        <w:ind w:left="50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Effective Date: </w:t>
      </w:r>
      <w:r w:rsidR="009E083A">
        <w:rPr>
          <w:rFonts w:ascii="Arial" w:hAnsi="Arial" w:cs="Arial"/>
          <w:b/>
          <w:bCs/>
          <w:sz w:val="24"/>
        </w:rPr>
        <w:t>09/01/2023</w:t>
      </w:r>
      <w:r w:rsidRPr="00D70419">
        <w:rPr>
          <w:rFonts w:ascii="Arial" w:hAnsi="Arial" w:cs="Arial"/>
          <w:b/>
          <w:bCs/>
          <w:sz w:val="24"/>
        </w:rPr>
        <w:br/>
        <w:t xml:space="preserve">Next Review Date: </w:t>
      </w:r>
      <w:r w:rsidR="00B55F9A" w:rsidRPr="00B55F9A">
        <w:rPr>
          <w:rFonts w:ascii="Arial" w:hAnsi="Arial" w:cs="Arial"/>
          <w:b/>
          <w:bCs/>
          <w:sz w:val="24"/>
        </w:rPr>
        <w:t>06/01/202</w:t>
      </w:r>
      <w:r w:rsidR="009E083A">
        <w:rPr>
          <w:rFonts w:ascii="Arial" w:hAnsi="Arial" w:cs="Arial"/>
          <w:b/>
          <w:bCs/>
          <w:sz w:val="24"/>
        </w:rPr>
        <w:t>5</w:t>
      </w:r>
      <w:r>
        <w:rPr>
          <w:rFonts w:ascii="Arial" w:hAnsi="Arial" w:cs="Arial"/>
          <w:b/>
          <w:bCs/>
          <w:sz w:val="24"/>
        </w:rPr>
        <w:t xml:space="preserve"> (E</w:t>
      </w:r>
      <w:r w:rsidR="001C3DB2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Y)</w:t>
      </w:r>
    </w:p>
    <w:p w14:paraId="1F77287A" w14:textId="3CA5E0AE" w:rsidR="00B37EFF" w:rsidRDefault="00B37EFF" w:rsidP="00D73EB3">
      <w:pPr>
        <w:spacing w:after="0" w:line="240" w:lineRule="auto"/>
        <w:ind w:left="5040"/>
        <w:rPr>
          <w:rFonts w:ascii="Arial" w:hAnsi="Arial" w:cs="Arial"/>
          <w:b/>
          <w:bCs/>
          <w:sz w:val="24"/>
        </w:rPr>
      </w:pPr>
      <w:r w:rsidRPr="00D70419">
        <w:rPr>
          <w:rFonts w:ascii="Arial" w:hAnsi="Arial" w:cs="Arial"/>
          <w:b/>
          <w:bCs/>
          <w:sz w:val="24"/>
        </w:rPr>
        <w:t>S</w:t>
      </w:r>
      <w:r w:rsidR="00CD782F">
        <w:rPr>
          <w:rFonts w:ascii="Arial" w:hAnsi="Arial" w:cs="Arial"/>
          <w:b/>
          <w:bCs/>
          <w:sz w:val="24"/>
        </w:rPr>
        <w:t>r.</w:t>
      </w:r>
      <w:r w:rsidRPr="00D70419">
        <w:rPr>
          <w:rFonts w:ascii="Arial" w:hAnsi="Arial" w:cs="Arial"/>
          <w:b/>
          <w:bCs/>
          <w:sz w:val="24"/>
        </w:rPr>
        <w:t xml:space="preserve"> Reviewer: </w:t>
      </w:r>
      <w:r>
        <w:rPr>
          <w:rFonts w:ascii="Arial" w:hAnsi="Arial" w:cs="Arial"/>
          <w:b/>
          <w:bCs/>
          <w:sz w:val="24"/>
        </w:rPr>
        <w:t>Director, Testing,</w:t>
      </w:r>
    </w:p>
    <w:p w14:paraId="2EB7A968" w14:textId="4FC5DCA5" w:rsidR="00410AC4" w:rsidRDefault="00B37EFF" w:rsidP="00D73EB3">
      <w:pPr>
        <w:spacing w:after="0" w:line="240" w:lineRule="auto"/>
        <w:ind w:left="50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Evaluation</w:t>
      </w:r>
      <w:r w:rsidR="00E233BA">
        <w:rPr>
          <w:rFonts w:ascii="Arial" w:hAnsi="Arial" w:cs="Arial"/>
          <w:b/>
          <w:bCs/>
          <w:sz w:val="24"/>
        </w:rPr>
        <w:t>,</w:t>
      </w:r>
      <w:r>
        <w:rPr>
          <w:rFonts w:ascii="Arial" w:hAnsi="Arial" w:cs="Arial"/>
          <w:b/>
          <w:bCs/>
          <w:sz w:val="24"/>
        </w:rPr>
        <w:t xml:space="preserve"> and Measurement Center </w:t>
      </w:r>
    </w:p>
    <w:p w14:paraId="6667D75E" w14:textId="1144586E" w:rsidR="00410AC4" w:rsidRDefault="00410AC4" w:rsidP="00D73EB3">
      <w:pPr>
        <w:spacing w:after="0" w:line="240" w:lineRule="auto"/>
        <w:ind w:left="5040"/>
        <w:rPr>
          <w:rFonts w:ascii="Arial" w:hAnsi="Arial" w:cs="Arial"/>
          <w:b/>
          <w:bCs/>
          <w:sz w:val="24"/>
        </w:rPr>
      </w:pPr>
    </w:p>
    <w:p w14:paraId="06013AB2" w14:textId="77777777" w:rsidR="00D73EB3" w:rsidRDefault="00D73EB3" w:rsidP="00D73EB3">
      <w:pPr>
        <w:spacing w:after="0" w:line="240" w:lineRule="auto"/>
        <w:ind w:left="5040"/>
        <w:rPr>
          <w:rFonts w:ascii="Arial" w:hAnsi="Arial" w:cs="Arial"/>
          <w:b/>
          <w:bCs/>
          <w:sz w:val="24"/>
        </w:rPr>
      </w:pPr>
    </w:p>
    <w:p w14:paraId="762B2DBD" w14:textId="549E33AB" w:rsidR="00B37EFF" w:rsidRDefault="00410AC4" w:rsidP="00D73EB3">
      <w:pPr>
        <w:spacing w:after="0" w:line="240" w:lineRule="auto"/>
        <w:ind w:left="5040" w:hanging="5040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POLICY STATEMENT</w:t>
      </w:r>
    </w:p>
    <w:p w14:paraId="0582A624" w14:textId="002C6D14" w:rsidR="00410AC4" w:rsidRDefault="00410AC4" w:rsidP="00D73EB3">
      <w:pPr>
        <w:spacing w:after="0" w:line="240" w:lineRule="auto"/>
        <w:ind w:left="5040" w:hanging="5040"/>
        <w:jc w:val="both"/>
        <w:rPr>
          <w:rStyle w:val="Strong"/>
          <w:rFonts w:ascii="Arial" w:hAnsi="Arial" w:cs="Arial"/>
          <w:sz w:val="24"/>
          <w:szCs w:val="24"/>
        </w:rPr>
      </w:pPr>
    </w:p>
    <w:p w14:paraId="43613C02" w14:textId="7DF9BE69" w:rsidR="00410AC4" w:rsidRPr="00285E68" w:rsidRDefault="00410AC4" w:rsidP="00D73E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Style w:val="Strong"/>
          <w:rFonts w:ascii="Arial" w:hAnsi="Arial" w:cs="Arial"/>
          <w:b w:val="0"/>
          <w:bCs w:val="0"/>
          <w:i/>
          <w:iCs/>
          <w:sz w:val="24"/>
          <w:szCs w:val="24"/>
        </w:rPr>
      </w:pPr>
      <w:r w:rsidRPr="00646ED1">
        <w:rPr>
          <w:rFonts w:ascii="Arial" w:hAnsi="Arial" w:cs="Arial"/>
          <w:i/>
          <w:iCs/>
          <w:sz w:val="24"/>
          <w:szCs w:val="24"/>
        </w:rPr>
        <w:t xml:space="preserve">Texas State University is committed to maintaining a well-designed, effective process for awarding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students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credit by examination</w:t>
      </w:r>
      <w:r w:rsidRPr="00646ED1">
        <w:rPr>
          <w:rFonts w:ascii="Arial" w:hAnsi="Arial" w:cs="Arial"/>
          <w:i/>
          <w:iCs/>
          <w:sz w:val="24"/>
          <w:szCs w:val="24"/>
        </w:rPr>
        <w:t>.</w:t>
      </w:r>
    </w:p>
    <w:p w14:paraId="7186A8A3" w14:textId="77777777" w:rsidR="00B37EFF" w:rsidRDefault="00B37EFF" w:rsidP="00D73EB3">
      <w:pPr>
        <w:tabs>
          <w:tab w:val="left" w:pos="5040"/>
        </w:tabs>
        <w:spacing w:after="0" w:line="240" w:lineRule="auto"/>
        <w:jc w:val="center"/>
        <w:rPr>
          <w:rStyle w:val="Strong"/>
          <w:rFonts w:ascii="Arial" w:hAnsi="Arial" w:cs="Arial"/>
          <w:sz w:val="24"/>
          <w:szCs w:val="24"/>
        </w:rPr>
      </w:pPr>
    </w:p>
    <w:p w14:paraId="56007484" w14:textId="19CB00BF" w:rsidR="00B37EFF" w:rsidRDefault="00B37EFF" w:rsidP="00813108">
      <w:pPr>
        <w:tabs>
          <w:tab w:val="left" w:pos="720"/>
          <w:tab w:val="left" w:pos="1440"/>
        </w:tabs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01.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410AC4">
        <w:rPr>
          <w:rStyle w:val="Strong"/>
          <w:rFonts w:ascii="Arial" w:hAnsi="Arial" w:cs="Arial"/>
          <w:sz w:val="24"/>
          <w:szCs w:val="24"/>
        </w:rPr>
        <w:t>BACKGROUND INFORMATION</w:t>
      </w:r>
    </w:p>
    <w:p w14:paraId="6A82DD2B" w14:textId="77777777" w:rsidR="00B37EFF" w:rsidRPr="00332FDA" w:rsidRDefault="00B37EFF" w:rsidP="00D73E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6BA612" w14:textId="3BC84E39" w:rsidR="00B37EFF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01.01</w:t>
      </w:r>
      <w:r>
        <w:rPr>
          <w:rFonts w:ascii="Arial" w:hAnsi="Arial" w:cs="Arial"/>
          <w:sz w:val="24"/>
          <w:szCs w:val="24"/>
        </w:rPr>
        <w:tab/>
      </w:r>
      <w:r w:rsidRPr="00332FDA">
        <w:rPr>
          <w:rFonts w:ascii="Arial" w:hAnsi="Arial" w:cs="Arial"/>
          <w:sz w:val="24"/>
          <w:szCs w:val="24"/>
        </w:rPr>
        <w:t xml:space="preserve">Many students, independent of the college environment, have attained college-level proficiency in academic subjects and may do as well on a test as do students who have successfully completed a course. These students may </w:t>
      </w:r>
      <w:r w:rsidR="00E233BA">
        <w:rPr>
          <w:rFonts w:ascii="Arial" w:hAnsi="Arial" w:cs="Arial"/>
          <w:sz w:val="24"/>
          <w:szCs w:val="24"/>
        </w:rPr>
        <w:t xml:space="preserve">be allowed to </w:t>
      </w:r>
      <w:r w:rsidRPr="00332FDA">
        <w:rPr>
          <w:rFonts w:ascii="Arial" w:hAnsi="Arial" w:cs="Arial"/>
          <w:sz w:val="24"/>
          <w:szCs w:val="24"/>
        </w:rPr>
        <w:t>earn credit for course</w:t>
      </w:r>
      <w:r w:rsidR="00E233BA">
        <w:rPr>
          <w:rFonts w:ascii="Arial" w:hAnsi="Arial" w:cs="Arial"/>
          <w:sz w:val="24"/>
          <w:szCs w:val="24"/>
        </w:rPr>
        <w:t>s</w:t>
      </w:r>
      <w:r w:rsidRPr="00332FDA">
        <w:rPr>
          <w:rFonts w:ascii="Arial" w:hAnsi="Arial" w:cs="Arial"/>
          <w:sz w:val="24"/>
          <w:szCs w:val="24"/>
        </w:rPr>
        <w:t xml:space="preserve"> without enrolling in </w:t>
      </w:r>
      <w:r w:rsidR="00E233BA">
        <w:rPr>
          <w:rFonts w:ascii="Arial" w:hAnsi="Arial" w:cs="Arial"/>
          <w:sz w:val="24"/>
          <w:szCs w:val="24"/>
        </w:rPr>
        <w:t>them</w:t>
      </w:r>
      <w:r w:rsidRPr="00332FDA">
        <w:rPr>
          <w:rFonts w:ascii="Arial" w:hAnsi="Arial" w:cs="Arial"/>
          <w:sz w:val="24"/>
          <w:szCs w:val="24"/>
        </w:rPr>
        <w:t xml:space="preserve">. Earning credit by examination enables students to avoid taking courses in which material would be </w:t>
      </w:r>
      <w:r>
        <w:rPr>
          <w:rFonts w:ascii="Arial" w:hAnsi="Arial" w:cs="Arial"/>
          <w:sz w:val="24"/>
          <w:szCs w:val="24"/>
        </w:rPr>
        <w:t>redundant</w:t>
      </w:r>
      <w:r w:rsidRPr="00332FDA">
        <w:rPr>
          <w:rFonts w:ascii="Arial" w:hAnsi="Arial" w:cs="Arial"/>
          <w:sz w:val="24"/>
          <w:szCs w:val="24"/>
        </w:rPr>
        <w:t xml:space="preserve"> and allows them to enroll in more challenging courses</w:t>
      </w:r>
      <w:r w:rsidR="00E233BA">
        <w:rPr>
          <w:rFonts w:ascii="Arial" w:hAnsi="Arial" w:cs="Arial"/>
          <w:sz w:val="24"/>
          <w:szCs w:val="24"/>
        </w:rPr>
        <w:t>. Credit by examination</w:t>
      </w:r>
      <w:r w:rsidRPr="00332FDA">
        <w:rPr>
          <w:rFonts w:ascii="Arial" w:hAnsi="Arial" w:cs="Arial"/>
          <w:sz w:val="24"/>
          <w:szCs w:val="24"/>
        </w:rPr>
        <w:t xml:space="preserve"> also offers incentive for independent study.</w:t>
      </w:r>
      <w:r w:rsidR="00410AC4">
        <w:rPr>
          <w:rFonts w:ascii="Arial" w:hAnsi="Arial" w:cs="Arial"/>
          <w:sz w:val="24"/>
          <w:szCs w:val="24"/>
        </w:rPr>
        <w:t xml:space="preserve"> </w:t>
      </w:r>
    </w:p>
    <w:p w14:paraId="71CEC625" w14:textId="77777777" w:rsidR="00B37EFF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24946FD5" w14:textId="6C3DE796" w:rsidR="00B37EFF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01.02</w:t>
      </w:r>
      <w:r>
        <w:rPr>
          <w:rFonts w:ascii="Arial" w:hAnsi="Arial" w:cs="Arial"/>
          <w:sz w:val="24"/>
          <w:szCs w:val="24"/>
        </w:rPr>
        <w:tab/>
      </w:r>
      <w:r w:rsidR="00E233BA">
        <w:rPr>
          <w:rFonts w:ascii="Arial" w:hAnsi="Arial" w:cs="Arial"/>
          <w:sz w:val="24"/>
          <w:szCs w:val="24"/>
        </w:rPr>
        <w:t>This policy pertains to undergraduate students. Undergraduate s</w:t>
      </w:r>
      <w:r>
        <w:rPr>
          <w:rFonts w:ascii="Arial" w:hAnsi="Arial" w:cs="Arial"/>
          <w:sz w:val="24"/>
          <w:szCs w:val="24"/>
        </w:rPr>
        <w:t xml:space="preserve">tudents must be currently or </w:t>
      </w:r>
      <w:r w:rsidRPr="0080145D">
        <w:rPr>
          <w:rFonts w:ascii="Arial" w:hAnsi="Arial" w:cs="Arial"/>
          <w:sz w:val="24"/>
          <w:szCs w:val="24"/>
        </w:rPr>
        <w:t>formerly enrolled at Texas State</w:t>
      </w:r>
      <w:r>
        <w:rPr>
          <w:rFonts w:ascii="Arial" w:hAnsi="Arial" w:cs="Arial"/>
          <w:sz w:val="24"/>
          <w:szCs w:val="24"/>
        </w:rPr>
        <w:t xml:space="preserve"> University</w:t>
      </w:r>
      <w:r w:rsidRPr="008014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145D"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take a credit examination on the</w:t>
      </w:r>
      <w:r w:rsidRPr="0080145D">
        <w:rPr>
          <w:rFonts w:ascii="Arial" w:hAnsi="Arial" w:cs="Arial"/>
          <w:sz w:val="24"/>
          <w:szCs w:val="24"/>
        </w:rPr>
        <w:t xml:space="preserve"> campus</w:t>
      </w:r>
      <w:r w:rsidR="00703A3A">
        <w:rPr>
          <w:rFonts w:ascii="Arial" w:hAnsi="Arial" w:cs="Arial"/>
          <w:sz w:val="24"/>
          <w:szCs w:val="24"/>
        </w:rPr>
        <w:t>,</w:t>
      </w:r>
      <w:r w:rsidRPr="0080145D">
        <w:rPr>
          <w:rFonts w:ascii="Arial" w:hAnsi="Arial" w:cs="Arial"/>
          <w:sz w:val="24"/>
          <w:szCs w:val="24"/>
        </w:rPr>
        <w:t xml:space="preserve"> with the exception of </w:t>
      </w:r>
      <w:r>
        <w:rPr>
          <w:rFonts w:ascii="Arial" w:hAnsi="Arial" w:cs="Arial"/>
          <w:sz w:val="24"/>
          <w:szCs w:val="24"/>
        </w:rPr>
        <w:t>College Level Examination Program (</w:t>
      </w:r>
      <w:r w:rsidRPr="0080145D">
        <w:rPr>
          <w:rFonts w:ascii="Arial" w:hAnsi="Arial" w:cs="Arial"/>
          <w:sz w:val="24"/>
          <w:szCs w:val="24"/>
        </w:rPr>
        <w:t>CLE</w:t>
      </w:r>
      <w:r>
        <w:rPr>
          <w:rFonts w:ascii="Arial" w:hAnsi="Arial" w:cs="Arial"/>
          <w:sz w:val="24"/>
          <w:szCs w:val="24"/>
        </w:rPr>
        <w:t>P)</w:t>
      </w:r>
      <w:r w:rsidRPr="0080145D">
        <w:rPr>
          <w:rFonts w:ascii="Arial" w:hAnsi="Arial" w:cs="Arial"/>
          <w:sz w:val="24"/>
          <w:szCs w:val="24"/>
        </w:rPr>
        <w:t xml:space="preserve"> testing. Any individual may </w:t>
      </w:r>
      <w:r w:rsidR="008D624A">
        <w:rPr>
          <w:rFonts w:ascii="Arial" w:hAnsi="Arial" w:cs="Arial"/>
          <w:sz w:val="24"/>
          <w:szCs w:val="24"/>
        </w:rPr>
        <w:t xml:space="preserve">take a </w:t>
      </w:r>
      <w:r w:rsidRPr="0080145D">
        <w:rPr>
          <w:rFonts w:ascii="Arial" w:hAnsi="Arial" w:cs="Arial"/>
          <w:sz w:val="24"/>
          <w:szCs w:val="24"/>
        </w:rPr>
        <w:t>CLEP</w:t>
      </w:r>
      <w:r>
        <w:rPr>
          <w:rFonts w:ascii="Arial" w:hAnsi="Arial" w:cs="Arial"/>
          <w:sz w:val="24"/>
          <w:szCs w:val="24"/>
        </w:rPr>
        <w:t xml:space="preserve"> </w:t>
      </w:r>
      <w:r w:rsidRPr="0080145D">
        <w:rPr>
          <w:rFonts w:ascii="Arial" w:hAnsi="Arial" w:cs="Arial"/>
          <w:sz w:val="24"/>
          <w:szCs w:val="24"/>
        </w:rPr>
        <w:t xml:space="preserve">test offered by the </w:t>
      </w:r>
      <w:hyperlink r:id="rId6" w:history="1">
        <w:r w:rsidRPr="001665E2">
          <w:rPr>
            <w:rStyle w:val="Hyperlink"/>
            <w:rFonts w:ascii="Arial" w:hAnsi="Arial" w:cs="Arial"/>
            <w:sz w:val="24"/>
            <w:szCs w:val="24"/>
          </w:rPr>
          <w:t>Testing, Evaluation</w:t>
        </w:r>
        <w:r w:rsidR="00E233BA">
          <w:rPr>
            <w:rStyle w:val="Hyperlink"/>
            <w:rFonts w:ascii="Arial" w:hAnsi="Arial" w:cs="Arial"/>
            <w:sz w:val="24"/>
            <w:szCs w:val="24"/>
          </w:rPr>
          <w:t>,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 and Measur</w:t>
        </w:r>
        <w:r>
          <w:rPr>
            <w:rStyle w:val="Hyperlink"/>
            <w:rFonts w:ascii="Arial" w:hAnsi="Arial" w:cs="Arial"/>
            <w:sz w:val="24"/>
            <w:szCs w:val="24"/>
          </w:rPr>
          <w:t>e</w:t>
        </w:r>
        <w:r>
          <w:rPr>
            <w:rStyle w:val="Hyperlink"/>
            <w:rFonts w:ascii="Arial" w:hAnsi="Arial" w:cs="Arial"/>
            <w:sz w:val="24"/>
            <w:szCs w:val="24"/>
          </w:rPr>
          <w:t>ment</w:t>
        </w:r>
        <w:r w:rsidRPr="001665E2">
          <w:rPr>
            <w:rStyle w:val="Hyperlink"/>
            <w:rFonts w:ascii="Arial" w:hAnsi="Arial" w:cs="Arial"/>
            <w:sz w:val="24"/>
            <w:szCs w:val="24"/>
          </w:rPr>
          <w:t xml:space="preserve"> Center</w:t>
        </w:r>
      </w:hyperlink>
      <w:r w:rsidRPr="0080145D">
        <w:rPr>
          <w:rFonts w:ascii="Arial" w:hAnsi="Arial" w:cs="Arial"/>
          <w:sz w:val="24"/>
          <w:szCs w:val="24"/>
        </w:rPr>
        <w:t xml:space="preserve"> (T</w:t>
      </w:r>
      <w:r>
        <w:rPr>
          <w:rFonts w:ascii="Arial" w:hAnsi="Arial" w:cs="Arial"/>
          <w:sz w:val="24"/>
          <w:szCs w:val="24"/>
        </w:rPr>
        <w:t>EMC</w:t>
      </w:r>
      <w:r w:rsidRPr="0080145D">
        <w:rPr>
          <w:rFonts w:ascii="Arial" w:hAnsi="Arial" w:cs="Arial"/>
          <w:sz w:val="24"/>
          <w:szCs w:val="24"/>
        </w:rPr>
        <w:t>).</w:t>
      </w:r>
    </w:p>
    <w:p w14:paraId="6D92F18D" w14:textId="77777777" w:rsidR="00B37EFF" w:rsidRPr="00332FDA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949B0C0" w14:textId="77777777" w:rsidR="00B37EFF" w:rsidRDefault="00B37EFF" w:rsidP="00D73EB3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02.</w:t>
      </w:r>
      <w:r>
        <w:rPr>
          <w:rStyle w:val="Strong"/>
          <w:rFonts w:ascii="Arial" w:hAnsi="Arial" w:cs="Arial"/>
          <w:sz w:val="24"/>
          <w:szCs w:val="24"/>
        </w:rPr>
        <w:tab/>
      </w:r>
      <w:r w:rsidRPr="00F771A8">
        <w:rPr>
          <w:rStyle w:val="Strong"/>
          <w:rFonts w:ascii="Arial" w:hAnsi="Arial" w:cs="Arial"/>
          <w:sz w:val="24"/>
          <w:szCs w:val="24"/>
        </w:rPr>
        <w:t>P</w:t>
      </w:r>
      <w:r>
        <w:rPr>
          <w:rStyle w:val="Strong"/>
          <w:rFonts w:ascii="Arial" w:hAnsi="Arial" w:cs="Arial"/>
          <w:sz w:val="24"/>
          <w:szCs w:val="24"/>
        </w:rPr>
        <w:t xml:space="preserve">ROCEDURES FOR CREDIT BY EXAMINATION </w:t>
      </w:r>
    </w:p>
    <w:p w14:paraId="5B0E7969" w14:textId="77777777" w:rsidR="00B37EFF" w:rsidRPr="00332FDA" w:rsidRDefault="00B37EFF" w:rsidP="00D73E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8455CC" w14:textId="74159D93" w:rsidR="00B37EFF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02.01</w:t>
      </w:r>
      <w:r>
        <w:rPr>
          <w:rFonts w:ascii="Arial" w:hAnsi="Arial" w:cs="Arial"/>
          <w:sz w:val="24"/>
          <w:szCs w:val="24"/>
        </w:rPr>
        <w:tab/>
        <w:t>In general, c</w:t>
      </w:r>
      <w:r w:rsidRPr="00332FDA">
        <w:rPr>
          <w:rFonts w:ascii="Arial" w:hAnsi="Arial" w:cs="Arial"/>
          <w:sz w:val="24"/>
          <w:szCs w:val="24"/>
        </w:rPr>
        <w:t>redit by exam</w:t>
      </w:r>
      <w:r w:rsidR="008D624A">
        <w:rPr>
          <w:rFonts w:ascii="Arial" w:hAnsi="Arial" w:cs="Arial"/>
          <w:sz w:val="24"/>
          <w:szCs w:val="24"/>
        </w:rPr>
        <w:t>ination</w:t>
      </w:r>
      <w:r w:rsidRPr="00332FDA">
        <w:rPr>
          <w:rFonts w:ascii="Arial" w:hAnsi="Arial" w:cs="Arial"/>
          <w:sz w:val="24"/>
          <w:szCs w:val="24"/>
        </w:rPr>
        <w:t xml:space="preserve"> will be</w:t>
      </w:r>
      <w:r>
        <w:rPr>
          <w:rFonts w:ascii="Arial" w:hAnsi="Arial" w:cs="Arial"/>
          <w:sz w:val="24"/>
          <w:szCs w:val="24"/>
        </w:rPr>
        <w:t xml:space="preserve"> awarded</w:t>
      </w:r>
      <w:r w:rsidRPr="00332FDA">
        <w:rPr>
          <w:rFonts w:ascii="Arial" w:hAnsi="Arial" w:cs="Arial"/>
          <w:sz w:val="24"/>
          <w:szCs w:val="24"/>
        </w:rPr>
        <w:t xml:space="preserve"> as credit only</w:t>
      </w:r>
      <w:r>
        <w:rPr>
          <w:rFonts w:ascii="Arial" w:hAnsi="Arial" w:cs="Arial"/>
          <w:sz w:val="24"/>
          <w:szCs w:val="24"/>
        </w:rPr>
        <w:t xml:space="preserve"> </w:t>
      </w:r>
      <w:r w:rsidRPr="00332FDA">
        <w:rPr>
          <w:rFonts w:ascii="Arial" w:hAnsi="Arial" w:cs="Arial"/>
          <w:sz w:val="24"/>
          <w:szCs w:val="24"/>
        </w:rPr>
        <w:t xml:space="preserve">(CR) and will not affect </w:t>
      </w:r>
      <w:r>
        <w:rPr>
          <w:rFonts w:ascii="Arial" w:hAnsi="Arial" w:cs="Arial"/>
          <w:sz w:val="24"/>
          <w:szCs w:val="24"/>
        </w:rPr>
        <w:t xml:space="preserve">the </w:t>
      </w:r>
      <w:r w:rsidRPr="00332FDA">
        <w:rPr>
          <w:rFonts w:ascii="Arial" w:hAnsi="Arial" w:cs="Arial"/>
          <w:sz w:val="24"/>
          <w:szCs w:val="24"/>
        </w:rPr>
        <w:t xml:space="preserve">student's cumulative </w:t>
      </w:r>
      <w:r>
        <w:rPr>
          <w:rFonts w:ascii="Arial" w:hAnsi="Arial" w:cs="Arial"/>
          <w:sz w:val="24"/>
          <w:szCs w:val="24"/>
        </w:rPr>
        <w:t>grade point average (</w:t>
      </w:r>
      <w:r w:rsidRPr="00332FDA">
        <w:rPr>
          <w:rFonts w:ascii="Arial" w:hAnsi="Arial" w:cs="Arial"/>
          <w:sz w:val="24"/>
          <w:szCs w:val="24"/>
        </w:rPr>
        <w:t>GPA</w:t>
      </w:r>
      <w:r>
        <w:rPr>
          <w:rFonts w:ascii="Arial" w:hAnsi="Arial" w:cs="Arial"/>
          <w:sz w:val="24"/>
          <w:szCs w:val="24"/>
        </w:rPr>
        <w:t>); however, grades of A or B in addition to CR may be awarded by the Department of World Languages and Literature</w:t>
      </w:r>
      <w:r w:rsidR="00D24EB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the French, German, and Spanish CLEP exams to recognize superior achievement. Letter grades, if awarded, will be factored into the cumulative GPA. In cases where grades of A or B </w:t>
      </w:r>
      <w:r w:rsidR="00E233BA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be awarded, the student will have the option to request that a CR be awarded instead. </w:t>
      </w:r>
      <w:r w:rsidRPr="00332FDA">
        <w:rPr>
          <w:rFonts w:ascii="Arial" w:hAnsi="Arial" w:cs="Arial"/>
          <w:sz w:val="24"/>
          <w:szCs w:val="24"/>
        </w:rPr>
        <w:t xml:space="preserve"> </w:t>
      </w:r>
    </w:p>
    <w:p w14:paraId="711B50FE" w14:textId="77777777" w:rsidR="00E233BA" w:rsidRPr="00332FDA" w:rsidRDefault="00E233BA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ADC4588" w14:textId="171977F3" w:rsidR="00B37EFF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02.02</w:t>
      </w:r>
      <w:r>
        <w:rPr>
          <w:rFonts w:ascii="Arial" w:hAnsi="Arial" w:cs="Arial"/>
          <w:sz w:val="24"/>
          <w:szCs w:val="24"/>
        </w:rPr>
        <w:tab/>
      </w:r>
      <w:r w:rsidRPr="00332FDA">
        <w:rPr>
          <w:rFonts w:ascii="Arial" w:hAnsi="Arial" w:cs="Arial"/>
          <w:sz w:val="24"/>
          <w:szCs w:val="24"/>
        </w:rPr>
        <w:t>Credit by exam</w:t>
      </w:r>
      <w:r w:rsidR="008D624A">
        <w:rPr>
          <w:rFonts w:ascii="Arial" w:hAnsi="Arial" w:cs="Arial"/>
          <w:sz w:val="24"/>
          <w:szCs w:val="24"/>
        </w:rPr>
        <w:t>ination</w:t>
      </w:r>
      <w:r w:rsidRPr="00332FDA">
        <w:rPr>
          <w:rFonts w:ascii="Arial" w:hAnsi="Arial" w:cs="Arial"/>
          <w:sz w:val="24"/>
          <w:szCs w:val="24"/>
        </w:rPr>
        <w:t xml:space="preserve"> satisfies degree requirements in the same way as credit earned by passing courses</w:t>
      </w:r>
      <w:r>
        <w:rPr>
          <w:rFonts w:ascii="Arial" w:hAnsi="Arial" w:cs="Arial"/>
          <w:sz w:val="24"/>
          <w:szCs w:val="24"/>
        </w:rPr>
        <w:t>, except that it does not count as credit earned in residence. Credit for graduate courses cannot be earned via examination.</w:t>
      </w:r>
    </w:p>
    <w:p w14:paraId="0F6444C1" w14:textId="77777777" w:rsidR="00B37EFF" w:rsidRPr="00332FDA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6BE14E2" w14:textId="0E29F625" w:rsidR="00CD782F" w:rsidRPr="00163349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</w:t>
      </w:r>
      <w:r>
        <w:rPr>
          <w:rFonts w:ascii="Arial" w:hAnsi="Arial" w:cs="Arial"/>
          <w:sz w:val="24"/>
          <w:szCs w:val="24"/>
        </w:rPr>
        <w:tab/>
      </w:r>
      <w:r w:rsidR="00F20B08">
        <w:rPr>
          <w:rFonts w:ascii="Arial" w:hAnsi="Arial" w:cs="Arial"/>
          <w:sz w:val="24"/>
          <w:szCs w:val="24"/>
        </w:rPr>
        <w:t xml:space="preserve">Students may retake a CLEP exam only after three months have elapsed since the previous attempt of the same exam. Retake waiting periods for departmental </w:t>
      </w:r>
      <w:r w:rsidR="00E233BA">
        <w:rPr>
          <w:rFonts w:ascii="Arial" w:hAnsi="Arial" w:cs="Arial"/>
          <w:sz w:val="24"/>
          <w:szCs w:val="24"/>
        </w:rPr>
        <w:t>credit by examination</w:t>
      </w:r>
      <w:r w:rsidR="00F20B08">
        <w:rPr>
          <w:rFonts w:ascii="Arial" w:hAnsi="Arial" w:cs="Arial"/>
          <w:sz w:val="24"/>
          <w:szCs w:val="24"/>
        </w:rPr>
        <w:t xml:space="preserve"> are determined by each department. </w:t>
      </w:r>
      <w:r w:rsidRPr="00EF35CA">
        <w:rPr>
          <w:rFonts w:ascii="Arial" w:hAnsi="Arial" w:cs="Arial"/>
          <w:sz w:val="24"/>
          <w:szCs w:val="24"/>
        </w:rPr>
        <w:t>Certain credit examinations may have a limit in the number of attempts permitted</w:t>
      </w:r>
      <w:r w:rsidR="00E233BA">
        <w:rPr>
          <w:rFonts w:ascii="Arial" w:hAnsi="Arial" w:cs="Arial"/>
          <w:sz w:val="24"/>
          <w:szCs w:val="24"/>
        </w:rPr>
        <w:t xml:space="preserve"> (c</w:t>
      </w:r>
      <w:r w:rsidRPr="00EF35CA">
        <w:rPr>
          <w:rFonts w:ascii="Arial" w:hAnsi="Arial" w:cs="Arial"/>
          <w:sz w:val="24"/>
          <w:szCs w:val="24"/>
        </w:rPr>
        <w:t xml:space="preserve">ontact </w:t>
      </w:r>
      <w:hyperlink r:id="rId7" w:history="1">
        <w:r w:rsidRPr="00E233BA">
          <w:rPr>
            <w:rStyle w:val="Hyperlink"/>
            <w:rFonts w:ascii="Arial" w:hAnsi="Arial" w:cs="Arial"/>
            <w:sz w:val="24"/>
            <w:szCs w:val="24"/>
          </w:rPr>
          <w:t>TEM</w:t>
        </w:r>
        <w:r w:rsidRPr="00E233BA">
          <w:rPr>
            <w:rStyle w:val="Hyperlink"/>
            <w:rFonts w:ascii="Arial" w:hAnsi="Arial" w:cs="Arial"/>
            <w:sz w:val="24"/>
            <w:szCs w:val="24"/>
          </w:rPr>
          <w:t>C</w:t>
        </w:r>
      </w:hyperlink>
      <w:r w:rsidRPr="00EF35CA">
        <w:rPr>
          <w:rFonts w:ascii="Arial" w:hAnsi="Arial" w:cs="Arial"/>
          <w:sz w:val="24"/>
          <w:szCs w:val="24"/>
        </w:rPr>
        <w:t xml:space="preserve"> for more information</w:t>
      </w:r>
      <w:r w:rsidR="00E233BA">
        <w:rPr>
          <w:rFonts w:ascii="Arial" w:hAnsi="Arial" w:cs="Arial"/>
          <w:sz w:val="24"/>
          <w:szCs w:val="24"/>
        </w:rPr>
        <w:t>)</w:t>
      </w:r>
      <w:r w:rsidRPr="00EF35CA">
        <w:rPr>
          <w:rFonts w:ascii="Arial" w:hAnsi="Arial" w:cs="Arial"/>
          <w:sz w:val="24"/>
          <w:szCs w:val="24"/>
        </w:rPr>
        <w:t>.</w:t>
      </w:r>
    </w:p>
    <w:p w14:paraId="025E9047" w14:textId="77777777" w:rsidR="00B37EFF" w:rsidRPr="00EF35CA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00D19C8F" w14:textId="16F3DAD4" w:rsidR="00B37EFF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02.04</w:t>
      </w:r>
      <w:r>
        <w:rPr>
          <w:rFonts w:ascii="Arial" w:hAnsi="Arial" w:cs="Arial"/>
          <w:sz w:val="24"/>
          <w:szCs w:val="24"/>
        </w:rPr>
        <w:tab/>
      </w:r>
      <w:r w:rsidRPr="00332FDA">
        <w:rPr>
          <w:rFonts w:ascii="Arial" w:hAnsi="Arial" w:cs="Arial"/>
          <w:sz w:val="24"/>
          <w:szCs w:val="24"/>
        </w:rPr>
        <w:t>Unsuccessful attempts to earn credit by examination will not be recorded</w:t>
      </w:r>
      <w:r>
        <w:rPr>
          <w:rFonts w:ascii="Arial" w:hAnsi="Arial" w:cs="Arial"/>
          <w:sz w:val="24"/>
          <w:szCs w:val="24"/>
        </w:rPr>
        <w:t xml:space="preserve"> on the transcript or other official records</w:t>
      </w:r>
      <w:r w:rsidR="008D62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except as needed to record the number and date of test attempts</w:t>
      </w:r>
      <w:r w:rsidRPr="00332FDA">
        <w:rPr>
          <w:rFonts w:ascii="Arial" w:hAnsi="Arial" w:cs="Arial"/>
          <w:sz w:val="24"/>
          <w:szCs w:val="24"/>
        </w:rPr>
        <w:t>.</w:t>
      </w:r>
    </w:p>
    <w:p w14:paraId="046FC63D" w14:textId="77777777" w:rsidR="00B37EFF" w:rsidRPr="00332FDA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F14C3AE" w14:textId="77777777" w:rsidR="00B37EFF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02.05</w:t>
      </w:r>
      <w:r>
        <w:rPr>
          <w:rFonts w:ascii="Arial" w:hAnsi="Arial" w:cs="Arial"/>
          <w:sz w:val="24"/>
          <w:szCs w:val="24"/>
        </w:rPr>
        <w:tab/>
      </w:r>
      <w:r w:rsidRPr="00332FDA">
        <w:rPr>
          <w:rFonts w:ascii="Arial" w:hAnsi="Arial" w:cs="Arial"/>
          <w:sz w:val="24"/>
          <w:szCs w:val="24"/>
        </w:rPr>
        <w:t>The credit by exam program requires the passing of a nationally normed or local test such as CLEP, Advanced Placement Program (AP), International Baccalaureate (IB), a departmental</w:t>
      </w:r>
      <w:r>
        <w:rPr>
          <w:rFonts w:ascii="Arial" w:hAnsi="Arial" w:cs="Arial"/>
          <w:sz w:val="24"/>
          <w:szCs w:val="24"/>
        </w:rPr>
        <w:t xml:space="preserve"> or school </w:t>
      </w:r>
      <w:r w:rsidRPr="00332FDA">
        <w:rPr>
          <w:rFonts w:ascii="Arial" w:hAnsi="Arial" w:cs="Arial"/>
          <w:sz w:val="24"/>
          <w:szCs w:val="24"/>
        </w:rPr>
        <w:t>exam</w:t>
      </w:r>
      <w:r>
        <w:rPr>
          <w:rFonts w:ascii="Arial" w:hAnsi="Arial" w:cs="Arial"/>
          <w:sz w:val="24"/>
          <w:szCs w:val="24"/>
        </w:rPr>
        <w:t>,</w:t>
      </w:r>
      <w:r w:rsidRPr="00332FDA">
        <w:rPr>
          <w:rFonts w:ascii="Arial" w:hAnsi="Arial" w:cs="Arial"/>
          <w:sz w:val="24"/>
          <w:szCs w:val="24"/>
        </w:rPr>
        <w:t xml:space="preserve"> or a combination of the above.</w:t>
      </w:r>
    </w:p>
    <w:p w14:paraId="6AA3D9C2" w14:textId="77777777" w:rsidR="00B37EFF" w:rsidRPr="00332FDA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2AE5DAF1" w14:textId="77777777" w:rsidR="00B37EFF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02.06</w:t>
      </w:r>
      <w:r>
        <w:rPr>
          <w:rFonts w:ascii="Arial" w:hAnsi="Arial" w:cs="Arial"/>
          <w:sz w:val="24"/>
          <w:szCs w:val="24"/>
        </w:rPr>
        <w:tab/>
      </w:r>
      <w:r w:rsidRPr="00332FDA">
        <w:rPr>
          <w:rFonts w:ascii="Arial" w:hAnsi="Arial" w:cs="Arial"/>
          <w:sz w:val="24"/>
          <w:szCs w:val="24"/>
        </w:rPr>
        <w:t>Academic departments</w:t>
      </w:r>
      <w:r>
        <w:rPr>
          <w:rFonts w:ascii="Arial" w:hAnsi="Arial" w:cs="Arial"/>
          <w:sz w:val="24"/>
          <w:szCs w:val="24"/>
        </w:rPr>
        <w:t xml:space="preserve"> and schools</w:t>
      </w:r>
      <w:r w:rsidRPr="00332FDA">
        <w:rPr>
          <w:rFonts w:ascii="Arial" w:hAnsi="Arial" w:cs="Arial"/>
          <w:sz w:val="24"/>
          <w:szCs w:val="24"/>
        </w:rPr>
        <w:t xml:space="preserve"> are responsible for selecting the courses</w:t>
      </w:r>
      <w:r>
        <w:rPr>
          <w:rFonts w:ascii="Arial" w:hAnsi="Arial" w:cs="Arial"/>
          <w:sz w:val="24"/>
          <w:szCs w:val="24"/>
        </w:rPr>
        <w:t xml:space="preserve"> for which</w:t>
      </w:r>
      <w:r w:rsidRPr="00332FDA">
        <w:rPr>
          <w:rFonts w:ascii="Arial" w:hAnsi="Arial" w:cs="Arial"/>
          <w:sz w:val="24"/>
          <w:szCs w:val="24"/>
        </w:rPr>
        <w:t xml:space="preserve"> credit</w:t>
      </w:r>
      <w:r>
        <w:rPr>
          <w:rFonts w:ascii="Arial" w:hAnsi="Arial" w:cs="Arial"/>
          <w:sz w:val="24"/>
          <w:szCs w:val="24"/>
        </w:rPr>
        <w:t xml:space="preserve"> and letter grades will be awarded</w:t>
      </w:r>
      <w:r w:rsidRPr="00332FDA">
        <w:rPr>
          <w:rFonts w:ascii="Arial" w:hAnsi="Arial" w:cs="Arial"/>
          <w:sz w:val="24"/>
          <w:szCs w:val="24"/>
        </w:rPr>
        <w:t xml:space="preserve">. Performance standards and </w:t>
      </w:r>
      <w:proofErr w:type="gramStart"/>
      <w:r w:rsidRPr="00332FDA">
        <w:rPr>
          <w:rFonts w:ascii="Arial" w:hAnsi="Arial" w:cs="Arial"/>
          <w:sz w:val="24"/>
          <w:szCs w:val="24"/>
        </w:rPr>
        <w:t>cut-scores</w:t>
      </w:r>
      <w:proofErr w:type="gramEnd"/>
      <w:r w:rsidRPr="00332FDA">
        <w:rPr>
          <w:rFonts w:ascii="Arial" w:hAnsi="Arial" w:cs="Arial"/>
          <w:sz w:val="24"/>
          <w:szCs w:val="24"/>
        </w:rPr>
        <w:t xml:space="preserve"> are set by the </w:t>
      </w:r>
      <w:r>
        <w:rPr>
          <w:rFonts w:ascii="Arial" w:hAnsi="Arial" w:cs="Arial"/>
          <w:sz w:val="24"/>
          <w:szCs w:val="24"/>
        </w:rPr>
        <w:t>department or school</w:t>
      </w:r>
      <w:r w:rsidRPr="00332FDA">
        <w:rPr>
          <w:rFonts w:ascii="Arial" w:hAnsi="Arial" w:cs="Arial"/>
          <w:sz w:val="24"/>
          <w:szCs w:val="24"/>
        </w:rPr>
        <w:t xml:space="preserve"> in which the courses are taught. These standards hold university wide and cannot be raised or lowered by other departments</w:t>
      </w:r>
      <w:r>
        <w:rPr>
          <w:rFonts w:ascii="Arial" w:hAnsi="Arial" w:cs="Arial"/>
          <w:sz w:val="24"/>
          <w:szCs w:val="24"/>
        </w:rPr>
        <w:t>, schools,</w:t>
      </w:r>
      <w:r w:rsidRPr="00332FDA">
        <w:rPr>
          <w:rFonts w:ascii="Arial" w:hAnsi="Arial" w:cs="Arial"/>
          <w:sz w:val="24"/>
          <w:szCs w:val="24"/>
        </w:rPr>
        <w:t xml:space="preserve"> or administrative units.</w:t>
      </w:r>
    </w:p>
    <w:p w14:paraId="4F0D25DE" w14:textId="77777777" w:rsidR="00B37EFF" w:rsidRPr="00332FDA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6729914" w14:textId="77777777" w:rsidR="00B37EFF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02.07</w:t>
      </w:r>
      <w:r>
        <w:rPr>
          <w:rFonts w:ascii="Arial" w:hAnsi="Arial" w:cs="Arial"/>
          <w:sz w:val="24"/>
          <w:szCs w:val="24"/>
        </w:rPr>
        <w:tab/>
      </w:r>
      <w:r w:rsidRPr="00332FDA">
        <w:rPr>
          <w:rFonts w:ascii="Arial" w:hAnsi="Arial" w:cs="Arial"/>
          <w:sz w:val="24"/>
          <w:szCs w:val="24"/>
        </w:rPr>
        <w:t>If a department</w:t>
      </w:r>
      <w:r>
        <w:rPr>
          <w:rFonts w:ascii="Arial" w:hAnsi="Arial" w:cs="Arial"/>
          <w:sz w:val="24"/>
          <w:szCs w:val="24"/>
        </w:rPr>
        <w:t xml:space="preserve"> or school</w:t>
      </w:r>
      <w:r w:rsidRPr="00332FDA">
        <w:rPr>
          <w:rFonts w:ascii="Arial" w:hAnsi="Arial" w:cs="Arial"/>
          <w:sz w:val="24"/>
          <w:szCs w:val="24"/>
        </w:rPr>
        <w:t xml:space="preserve"> chooses not to award course credit for</w:t>
      </w:r>
      <w:r>
        <w:rPr>
          <w:rFonts w:ascii="Arial" w:hAnsi="Arial" w:cs="Arial"/>
          <w:sz w:val="24"/>
          <w:szCs w:val="24"/>
        </w:rPr>
        <w:t xml:space="preserve"> one of</w:t>
      </w:r>
      <w:r w:rsidRPr="00332FDA">
        <w:rPr>
          <w:rFonts w:ascii="Arial" w:hAnsi="Arial" w:cs="Arial"/>
          <w:sz w:val="24"/>
          <w:szCs w:val="24"/>
        </w:rPr>
        <w:t xml:space="preserve"> their course</w:t>
      </w:r>
      <w:r>
        <w:rPr>
          <w:rFonts w:ascii="Arial" w:hAnsi="Arial" w:cs="Arial"/>
          <w:sz w:val="24"/>
          <w:szCs w:val="24"/>
        </w:rPr>
        <w:t>s</w:t>
      </w:r>
      <w:r w:rsidRPr="00332F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2FDA">
        <w:rPr>
          <w:rFonts w:ascii="Arial" w:hAnsi="Arial" w:cs="Arial"/>
          <w:sz w:val="24"/>
          <w:szCs w:val="24"/>
        </w:rPr>
        <w:t>on the basis of</w:t>
      </w:r>
      <w:proofErr w:type="gramEnd"/>
      <w:r w:rsidRPr="00332FDA">
        <w:rPr>
          <w:rFonts w:ascii="Arial" w:hAnsi="Arial" w:cs="Arial"/>
          <w:sz w:val="24"/>
          <w:szCs w:val="24"/>
        </w:rPr>
        <w:t xml:space="preserve"> CLEP, AP, IB, departmental</w:t>
      </w:r>
      <w:r>
        <w:rPr>
          <w:rFonts w:ascii="Arial" w:hAnsi="Arial" w:cs="Arial"/>
          <w:sz w:val="24"/>
          <w:szCs w:val="24"/>
        </w:rPr>
        <w:t xml:space="preserve"> or school exam,</w:t>
      </w:r>
      <w:r w:rsidRPr="00332FDA">
        <w:rPr>
          <w:rFonts w:ascii="Arial" w:hAnsi="Arial" w:cs="Arial"/>
          <w:sz w:val="24"/>
          <w:szCs w:val="24"/>
        </w:rPr>
        <w:t xml:space="preserve"> or other exams, no other program, department</w:t>
      </w:r>
      <w:r>
        <w:rPr>
          <w:rFonts w:ascii="Arial" w:hAnsi="Arial" w:cs="Arial"/>
          <w:sz w:val="24"/>
          <w:szCs w:val="24"/>
        </w:rPr>
        <w:t>, school,</w:t>
      </w:r>
      <w:r w:rsidRPr="00332FDA">
        <w:rPr>
          <w:rFonts w:ascii="Arial" w:hAnsi="Arial" w:cs="Arial"/>
          <w:sz w:val="24"/>
          <w:szCs w:val="24"/>
        </w:rPr>
        <w:t xml:space="preserve"> or college can accept the exams</w:t>
      </w:r>
      <w:r>
        <w:rPr>
          <w:rFonts w:ascii="Arial" w:hAnsi="Arial" w:cs="Arial"/>
          <w:sz w:val="24"/>
          <w:szCs w:val="24"/>
        </w:rPr>
        <w:t xml:space="preserve"> for credit in</w:t>
      </w:r>
      <w:r w:rsidRPr="00332FDA">
        <w:rPr>
          <w:rFonts w:ascii="Arial" w:hAnsi="Arial" w:cs="Arial"/>
          <w:sz w:val="24"/>
          <w:szCs w:val="24"/>
        </w:rPr>
        <w:t xml:space="preserve"> that course.</w:t>
      </w:r>
    </w:p>
    <w:p w14:paraId="35676F87" w14:textId="77777777" w:rsidR="00B37EFF" w:rsidRPr="00332FDA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5C2E7106" w14:textId="7DA87CF9" w:rsidR="00B37EFF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02.08</w:t>
      </w:r>
      <w:r>
        <w:rPr>
          <w:rFonts w:ascii="Arial" w:hAnsi="Arial" w:cs="Arial"/>
          <w:sz w:val="24"/>
          <w:szCs w:val="24"/>
        </w:rPr>
        <w:tab/>
      </w:r>
      <w:r w:rsidR="00F567B7" w:rsidRPr="00F567B7">
        <w:rPr>
          <w:rFonts w:ascii="Arial" w:hAnsi="Arial" w:cs="Arial"/>
          <w:sz w:val="24"/>
          <w:szCs w:val="24"/>
        </w:rPr>
        <w:t>Students transferring to Texas State with credit earned via examination recorded on their transcripts must request an official score report be sent from the testing agency to</w:t>
      </w:r>
      <w:r w:rsidR="00813108">
        <w:rPr>
          <w:rFonts w:ascii="Arial" w:hAnsi="Arial" w:cs="Arial"/>
          <w:sz w:val="24"/>
          <w:szCs w:val="24"/>
        </w:rPr>
        <w:t xml:space="preserve"> Texas State</w:t>
      </w:r>
      <w:r w:rsidR="00F567B7" w:rsidRPr="00F567B7">
        <w:rPr>
          <w:rFonts w:ascii="Arial" w:hAnsi="Arial" w:cs="Arial"/>
          <w:sz w:val="24"/>
          <w:szCs w:val="24"/>
        </w:rPr>
        <w:t xml:space="preserve">. TEMC will evaluate official score reports for possible CBE credit for the following exams: </w:t>
      </w:r>
      <w:r w:rsidR="00813108">
        <w:rPr>
          <w:rFonts w:ascii="Arial" w:hAnsi="Arial" w:cs="Arial"/>
          <w:sz w:val="24"/>
          <w:szCs w:val="24"/>
        </w:rPr>
        <w:t xml:space="preserve">AP </w:t>
      </w:r>
      <w:r w:rsidR="00F567B7" w:rsidRPr="00F567B7">
        <w:rPr>
          <w:rFonts w:ascii="Arial" w:hAnsi="Arial" w:cs="Arial"/>
          <w:sz w:val="24"/>
          <w:szCs w:val="24"/>
        </w:rPr>
        <w:t xml:space="preserve">(archived score reports sent as paper copies only), IB, CLEP, and ACTFL exams. TEMC may facilitate processing of other CBE credit on a case-by-case basis for individual students with approval from the relevant departmental faculty at </w:t>
      </w:r>
      <w:r w:rsidR="00813108">
        <w:rPr>
          <w:rFonts w:ascii="Arial" w:hAnsi="Arial" w:cs="Arial"/>
          <w:sz w:val="24"/>
          <w:szCs w:val="24"/>
        </w:rPr>
        <w:t>Texas State</w:t>
      </w:r>
      <w:r w:rsidR="00F567B7" w:rsidRPr="00F567B7">
        <w:rPr>
          <w:rFonts w:ascii="Arial" w:hAnsi="Arial" w:cs="Arial"/>
          <w:sz w:val="24"/>
          <w:szCs w:val="24"/>
        </w:rPr>
        <w:t>.</w:t>
      </w:r>
    </w:p>
    <w:p w14:paraId="7CB2CAFE" w14:textId="77777777" w:rsidR="00B37EFF" w:rsidRPr="00332FDA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72226DFA" w14:textId="77777777" w:rsidR="00B37EFF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02.09</w:t>
      </w:r>
      <w:r>
        <w:rPr>
          <w:rFonts w:ascii="Arial" w:hAnsi="Arial" w:cs="Arial"/>
          <w:sz w:val="24"/>
          <w:szCs w:val="24"/>
        </w:rPr>
        <w:tab/>
      </w:r>
      <w:r w:rsidRPr="00332FDA">
        <w:rPr>
          <w:rFonts w:ascii="Arial" w:hAnsi="Arial" w:cs="Arial"/>
          <w:sz w:val="24"/>
          <w:szCs w:val="24"/>
        </w:rPr>
        <w:t>National examinations</w:t>
      </w:r>
      <w:r>
        <w:rPr>
          <w:rFonts w:ascii="Arial" w:hAnsi="Arial" w:cs="Arial"/>
          <w:sz w:val="24"/>
          <w:szCs w:val="24"/>
        </w:rPr>
        <w:t>,</w:t>
      </w:r>
      <w:r w:rsidRPr="00332FDA">
        <w:rPr>
          <w:rFonts w:ascii="Arial" w:hAnsi="Arial" w:cs="Arial"/>
          <w:sz w:val="24"/>
          <w:szCs w:val="24"/>
        </w:rPr>
        <w:t xml:space="preserve"> such as CLEP</w:t>
      </w:r>
      <w:r>
        <w:rPr>
          <w:rFonts w:ascii="Arial" w:hAnsi="Arial" w:cs="Arial"/>
          <w:sz w:val="24"/>
          <w:szCs w:val="24"/>
        </w:rPr>
        <w:t>,</w:t>
      </w:r>
      <w:r w:rsidRPr="00332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 w:rsidRPr="00332FDA">
        <w:rPr>
          <w:rFonts w:ascii="Arial" w:hAnsi="Arial" w:cs="Arial"/>
          <w:sz w:val="24"/>
          <w:szCs w:val="24"/>
        </w:rPr>
        <w:t xml:space="preserve"> are accepted at Texas State for credit may be taken at locations other than Texas State. However, credit awarded will be based upon Texas State's criteria and required scores.</w:t>
      </w:r>
    </w:p>
    <w:p w14:paraId="2DE20BD4" w14:textId="77777777" w:rsidR="00B37EFF" w:rsidRPr="00332FDA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53D4594" w14:textId="5C467C7A" w:rsidR="00B37EFF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02.10</w:t>
      </w:r>
      <w:r>
        <w:rPr>
          <w:rFonts w:ascii="Arial" w:hAnsi="Arial" w:cs="Arial"/>
          <w:sz w:val="24"/>
          <w:szCs w:val="24"/>
        </w:rPr>
        <w:tab/>
      </w:r>
      <w:r w:rsidRPr="00332FDA">
        <w:rPr>
          <w:rFonts w:ascii="Arial" w:hAnsi="Arial" w:cs="Arial"/>
          <w:sz w:val="24"/>
          <w:szCs w:val="24"/>
        </w:rPr>
        <w:t xml:space="preserve">Special circumstances regarding </w:t>
      </w:r>
      <w:r>
        <w:rPr>
          <w:rFonts w:ascii="Arial" w:hAnsi="Arial" w:cs="Arial"/>
          <w:sz w:val="24"/>
          <w:szCs w:val="24"/>
        </w:rPr>
        <w:t xml:space="preserve">the awarding of </w:t>
      </w:r>
      <w:r w:rsidRPr="00332FDA">
        <w:rPr>
          <w:rFonts w:ascii="Arial" w:hAnsi="Arial" w:cs="Arial"/>
          <w:sz w:val="24"/>
          <w:szCs w:val="24"/>
        </w:rPr>
        <w:t>credit by examination taken at Texas State will be considered by the department</w:t>
      </w:r>
      <w:r>
        <w:rPr>
          <w:rFonts w:ascii="Arial" w:hAnsi="Arial" w:cs="Arial"/>
          <w:sz w:val="24"/>
          <w:szCs w:val="24"/>
        </w:rPr>
        <w:t xml:space="preserve"> or school</w:t>
      </w:r>
      <w:r w:rsidRPr="00332FDA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TEMC</w:t>
      </w:r>
      <w:r w:rsidRPr="00332FDA">
        <w:rPr>
          <w:rFonts w:ascii="Arial" w:hAnsi="Arial" w:cs="Arial"/>
          <w:sz w:val="24"/>
          <w:szCs w:val="24"/>
        </w:rPr>
        <w:t xml:space="preserve"> on an individual student basis. Special circumstances regarding the transfer of credit by examination to Texas State will be considered by the </w:t>
      </w:r>
      <w:r w:rsidR="00CB22ED">
        <w:rPr>
          <w:rFonts w:ascii="Arial" w:hAnsi="Arial" w:cs="Arial"/>
          <w:sz w:val="24"/>
          <w:szCs w:val="24"/>
        </w:rPr>
        <w:t>appropriate unit</w:t>
      </w:r>
      <w:r w:rsidRPr="00332FDA">
        <w:rPr>
          <w:rFonts w:ascii="Arial" w:hAnsi="Arial" w:cs="Arial"/>
          <w:sz w:val="24"/>
          <w:szCs w:val="24"/>
        </w:rPr>
        <w:t xml:space="preserve"> </w:t>
      </w:r>
      <w:r w:rsidR="00F567B7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TEMC</w:t>
      </w:r>
      <w:r w:rsidRPr="00332FDA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a case-by-case</w:t>
      </w:r>
      <w:r w:rsidRPr="00332FDA">
        <w:rPr>
          <w:rFonts w:ascii="Arial" w:hAnsi="Arial" w:cs="Arial"/>
          <w:sz w:val="24"/>
          <w:szCs w:val="24"/>
        </w:rPr>
        <w:t xml:space="preserve"> basis.</w:t>
      </w:r>
    </w:p>
    <w:p w14:paraId="0B51E54C" w14:textId="77777777" w:rsidR="008D624A" w:rsidRPr="00332FDA" w:rsidRDefault="008D624A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0AA31A42" w14:textId="5FD64EAD" w:rsidR="00B37EFF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02.11</w:t>
      </w:r>
      <w:r>
        <w:rPr>
          <w:rFonts w:ascii="Arial" w:hAnsi="Arial" w:cs="Arial"/>
          <w:sz w:val="24"/>
          <w:szCs w:val="24"/>
        </w:rPr>
        <w:tab/>
      </w:r>
      <w:r w:rsidRPr="00332FDA">
        <w:rPr>
          <w:rFonts w:ascii="Arial" w:hAnsi="Arial" w:cs="Arial"/>
          <w:sz w:val="24"/>
          <w:szCs w:val="24"/>
        </w:rPr>
        <w:t>Each department</w:t>
      </w:r>
      <w:r>
        <w:rPr>
          <w:rFonts w:ascii="Arial" w:hAnsi="Arial" w:cs="Arial"/>
          <w:sz w:val="24"/>
          <w:szCs w:val="24"/>
        </w:rPr>
        <w:t xml:space="preserve"> and school</w:t>
      </w:r>
      <w:r w:rsidRPr="00332FDA">
        <w:rPr>
          <w:rFonts w:ascii="Arial" w:hAnsi="Arial" w:cs="Arial"/>
          <w:sz w:val="24"/>
          <w:szCs w:val="24"/>
        </w:rPr>
        <w:t xml:space="preserve"> will have the opportunity to review their credit by examination procedures (i.e., tests being used, pass/fail rates</w:t>
      </w:r>
      <w:r w:rsidR="008D624A">
        <w:rPr>
          <w:rFonts w:ascii="Arial" w:hAnsi="Arial" w:cs="Arial"/>
          <w:sz w:val="24"/>
          <w:szCs w:val="24"/>
        </w:rPr>
        <w:t>,</w:t>
      </w:r>
      <w:r w:rsidRPr="00332FDA">
        <w:rPr>
          <w:rFonts w:ascii="Arial" w:hAnsi="Arial" w:cs="Arial"/>
          <w:sz w:val="24"/>
          <w:szCs w:val="24"/>
        </w:rPr>
        <w:t xml:space="preserve"> and cut-off scores) on an annual basis. However, formal procedural changes will be made every two years with the implementation of </w:t>
      </w:r>
      <w:r>
        <w:rPr>
          <w:rFonts w:ascii="Arial" w:hAnsi="Arial" w:cs="Arial"/>
          <w:sz w:val="24"/>
          <w:szCs w:val="24"/>
        </w:rPr>
        <w:t>a</w:t>
      </w:r>
      <w:r w:rsidRPr="00332FDA">
        <w:rPr>
          <w:rFonts w:ascii="Arial" w:hAnsi="Arial" w:cs="Arial"/>
          <w:sz w:val="24"/>
          <w:szCs w:val="24"/>
        </w:rPr>
        <w:t xml:space="preserve"> new catalog. Cut</w:t>
      </w:r>
      <w:r>
        <w:rPr>
          <w:rFonts w:ascii="Arial" w:hAnsi="Arial" w:cs="Arial"/>
          <w:sz w:val="24"/>
          <w:szCs w:val="24"/>
        </w:rPr>
        <w:t xml:space="preserve">-off </w:t>
      </w:r>
      <w:r w:rsidRPr="00332FDA">
        <w:rPr>
          <w:rFonts w:ascii="Arial" w:hAnsi="Arial" w:cs="Arial"/>
          <w:sz w:val="24"/>
          <w:szCs w:val="24"/>
        </w:rPr>
        <w:t>scores may change without prior notice.</w:t>
      </w:r>
    </w:p>
    <w:p w14:paraId="7F7D582E" w14:textId="77777777" w:rsidR="00B37EFF" w:rsidRPr="00332FDA" w:rsidRDefault="00B37EFF" w:rsidP="00D73EB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2E330123" w14:textId="0438839D" w:rsidR="00B37EFF" w:rsidRDefault="00B37EFF" w:rsidP="00D73EB3">
      <w:pPr>
        <w:spacing w:after="0" w:line="240" w:lineRule="auto"/>
        <w:ind w:left="1440" w:hanging="72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02.12</w:t>
      </w:r>
      <w:r>
        <w:rPr>
          <w:rFonts w:ascii="Arial" w:hAnsi="Arial" w:cs="Arial"/>
          <w:sz w:val="24"/>
          <w:szCs w:val="24"/>
        </w:rPr>
        <w:tab/>
      </w:r>
      <w:r w:rsidRPr="00A8515A">
        <w:rPr>
          <w:rFonts w:ascii="Arial" w:hAnsi="Arial" w:cs="Arial"/>
          <w:sz w:val="24"/>
          <w:szCs w:val="24"/>
        </w:rPr>
        <w:t xml:space="preserve">For alternate policies regarding credit by examination for students enrolled in the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Department of Organization, Workforce</w:t>
        </w:r>
        <w:r w:rsidR="00E233BA">
          <w:rPr>
            <w:rStyle w:val="Hyperlink"/>
            <w:rFonts w:ascii="Arial" w:hAnsi="Arial" w:cs="Arial"/>
            <w:sz w:val="24"/>
            <w:szCs w:val="24"/>
          </w:rPr>
          <w:t>,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>
          <w:rPr>
            <w:rStyle w:val="Hyperlink"/>
            <w:rFonts w:ascii="Arial" w:hAnsi="Arial" w:cs="Arial"/>
            <w:sz w:val="24"/>
            <w:szCs w:val="24"/>
          </w:rPr>
          <w:t>a</w:t>
        </w:r>
        <w:r>
          <w:rPr>
            <w:rStyle w:val="Hyperlink"/>
            <w:rFonts w:ascii="Arial" w:hAnsi="Arial" w:cs="Arial"/>
            <w:sz w:val="24"/>
            <w:szCs w:val="24"/>
          </w:rPr>
          <w:t>nd Leadership Studies (OWLS)</w:t>
        </w:r>
      </w:hyperlink>
      <w:r>
        <w:rPr>
          <w:rFonts w:ascii="Arial" w:hAnsi="Arial" w:cs="Arial"/>
          <w:sz w:val="24"/>
          <w:szCs w:val="24"/>
        </w:rPr>
        <w:t>,</w:t>
      </w:r>
      <w:r w:rsidRPr="00A8515A">
        <w:rPr>
          <w:rFonts w:ascii="Arial" w:hAnsi="Arial" w:cs="Arial"/>
          <w:sz w:val="24"/>
          <w:szCs w:val="24"/>
        </w:rPr>
        <w:t xml:space="preserve"> contact that department.</w:t>
      </w:r>
      <w:r>
        <w:rPr>
          <w:rFonts w:ascii="Arial" w:hAnsi="Arial" w:cs="Arial"/>
          <w:sz w:val="24"/>
          <w:szCs w:val="24"/>
        </w:rPr>
        <w:t xml:space="preserve"> </w:t>
      </w:r>
      <w:r w:rsidRPr="003E65EE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75BF672A" w14:textId="77777777" w:rsidR="00B37EFF" w:rsidRPr="00332FDA" w:rsidRDefault="00B37EFF" w:rsidP="00D73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E5B317" w14:textId="77777777" w:rsidR="00B37EFF" w:rsidRDefault="00B37EFF" w:rsidP="00D73EB3">
      <w:pPr>
        <w:pStyle w:val="NormalWeb"/>
        <w:spacing w:before="0" w:beforeAutospacing="0" w:after="0" w:afterAutospacing="0"/>
        <w:ind w:right="72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03.</w:t>
      </w:r>
      <w:r>
        <w:rPr>
          <w:rStyle w:val="Strong"/>
          <w:rFonts w:ascii="Arial" w:hAnsi="Arial" w:cs="Arial"/>
          <w:sz w:val="24"/>
          <w:szCs w:val="24"/>
        </w:rPr>
        <w:tab/>
        <w:t>REVIEWER OF THIS PPS</w:t>
      </w:r>
    </w:p>
    <w:p w14:paraId="69144482" w14:textId="77777777" w:rsidR="00B37EFF" w:rsidRDefault="00B37EFF" w:rsidP="00D73EB3">
      <w:pPr>
        <w:pStyle w:val="NormalWeb"/>
        <w:spacing w:before="0" w:beforeAutospacing="0" w:after="0" w:afterAutospacing="0"/>
        <w:ind w:right="720"/>
        <w:rPr>
          <w:rStyle w:val="Strong"/>
          <w:rFonts w:ascii="Arial" w:hAnsi="Arial" w:cs="Arial"/>
          <w:sz w:val="24"/>
          <w:szCs w:val="24"/>
        </w:rPr>
      </w:pPr>
    </w:p>
    <w:p w14:paraId="4995102F" w14:textId="77777777" w:rsidR="00B37EFF" w:rsidRPr="00B37EFF" w:rsidRDefault="00B37EFF" w:rsidP="00D73EB3">
      <w:pPr>
        <w:pStyle w:val="NormalWeb"/>
        <w:spacing w:before="0" w:beforeAutospacing="0" w:after="0" w:afterAutospacing="0"/>
        <w:ind w:left="720" w:right="72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B37EFF">
        <w:rPr>
          <w:rStyle w:val="Strong"/>
          <w:rFonts w:ascii="Arial" w:hAnsi="Arial" w:cs="Arial"/>
          <w:b w:val="0"/>
          <w:bCs w:val="0"/>
          <w:sz w:val="24"/>
          <w:szCs w:val="24"/>
        </w:rPr>
        <w:t>03.01</w:t>
      </w:r>
      <w:r w:rsidRPr="00B37EF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>Reviewer of this PPS includes the following:</w:t>
      </w:r>
    </w:p>
    <w:p w14:paraId="769AB68F" w14:textId="77777777" w:rsidR="00B37EFF" w:rsidRPr="00B37EFF" w:rsidRDefault="00B37EFF" w:rsidP="00D73EB3">
      <w:pPr>
        <w:pStyle w:val="NormalWeb"/>
        <w:spacing w:before="0" w:beforeAutospacing="0" w:after="0" w:afterAutospacing="0"/>
        <w:ind w:left="720" w:right="720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285A83D6" w14:textId="77777777" w:rsidR="00B37EFF" w:rsidRPr="00B37EFF" w:rsidRDefault="00B37EFF" w:rsidP="00D73EB3">
      <w:pPr>
        <w:pStyle w:val="NormalWeb"/>
        <w:tabs>
          <w:tab w:val="left" w:pos="5760"/>
        </w:tabs>
        <w:spacing w:before="0" w:beforeAutospacing="0" w:after="0" w:afterAutospacing="0"/>
        <w:ind w:left="1440" w:right="72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0237EF">
        <w:rPr>
          <w:rStyle w:val="Strong"/>
          <w:rFonts w:ascii="Arial" w:hAnsi="Arial" w:cs="Arial"/>
          <w:b w:val="0"/>
          <w:bCs w:val="0"/>
          <w:sz w:val="24"/>
          <w:szCs w:val="24"/>
          <w:u w:val="single"/>
        </w:rPr>
        <w:t>Position</w:t>
      </w:r>
      <w:r w:rsidRPr="00B37EF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Pr="000237EF">
        <w:rPr>
          <w:rStyle w:val="Strong"/>
          <w:rFonts w:ascii="Arial" w:hAnsi="Arial" w:cs="Arial"/>
          <w:b w:val="0"/>
          <w:bCs w:val="0"/>
          <w:sz w:val="24"/>
          <w:szCs w:val="24"/>
          <w:u w:val="single"/>
        </w:rPr>
        <w:t>Date</w:t>
      </w:r>
    </w:p>
    <w:p w14:paraId="33807432" w14:textId="77777777" w:rsidR="00B37EFF" w:rsidRPr="00B37EFF" w:rsidRDefault="00B37EFF" w:rsidP="00D73EB3">
      <w:pPr>
        <w:pStyle w:val="NormalWeb"/>
        <w:tabs>
          <w:tab w:val="left" w:pos="5760"/>
        </w:tabs>
        <w:spacing w:before="0" w:beforeAutospacing="0" w:after="0" w:afterAutospacing="0"/>
        <w:ind w:left="1440" w:right="720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61F678A1" w14:textId="68ADDD9C" w:rsidR="00B37EFF" w:rsidRPr="00B37EFF" w:rsidRDefault="00B37EFF" w:rsidP="00D73EB3">
      <w:pPr>
        <w:pStyle w:val="NormalWeb"/>
        <w:tabs>
          <w:tab w:val="left" w:pos="5760"/>
        </w:tabs>
        <w:spacing w:before="0" w:beforeAutospacing="0" w:after="0" w:afterAutospacing="0"/>
        <w:ind w:left="1440" w:right="72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B37EFF">
        <w:rPr>
          <w:rStyle w:val="Strong"/>
          <w:rFonts w:ascii="Arial" w:hAnsi="Arial" w:cs="Arial"/>
          <w:b w:val="0"/>
          <w:bCs w:val="0"/>
          <w:sz w:val="24"/>
          <w:szCs w:val="24"/>
        </w:rPr>
        <w:t>Director, Testing, Evaluation</w:t>
      </w:r>
      <w:r w:rsidR="00E233BA">
        <w:rPr>
          <w:rStyle w:val="Strong"/>
          <w:rFonts w:ascii="Arial" w:hAnsi="Arial" w:cs="Arial"/>
          <w:b w:val="0"/>
          <w:bCs w:val="0"/>
          <w:sz w:val="24"/>
          <w:szCs w:val="24"/>
        </w:rPr>
        <w:t>,</w:t>
      </w:r>
      <w:r w:rsidRPr="00B37EF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and </w:t>
      </w:r>
      <w:r w:rsidRPr="00B37EF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1C3DB2">
        <w:rPr>
          <w:rStyle w:val="Strong"/>
          <w:rFonts w:ascii="Arial" w:hAnsi="Arial" w:cs="Arial"/>
          <w:b w:val="0"/>
          <w:bCs w:val="0"/>
          <w:sz w:val="24"/>
          <w:szCs w:val="24"/>
        </w:rPr>
        <w:t>June</w:t>
      </w:r>
      <w:r w:rsidRPr="00B37EF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1 E</w:t>
      </w:r>
      <w:r w:rsidR="001C3DB2">
        <w:rPr>
          <w:rStyle w:val="Strong"/>
          <w:rFonts w:ascii="Arial" w:hAnsi="Arial" w:cs="Arial"/>
          <w:b w:val="0"/>
          <w:bCs w:val="0"/>
          <w:sz w:val="24"/>
          <w:szCs w:val="24"/>
        </w:rPr>
        <w:t>2</w:t>
      </w:r>
      <w:r w:rsidRPr="00B37EFF">
        <w:rPr>
          <w:rStyle w:val="Strong"/>
          <w:rFonts w:ascii="Arial" w:hAnsi="Arial" w:cs="Arial"/>
          <w:b w:val="0"/>
          <w:bCs w:val="0"/>
          <w:sz w:val="24"/>
          <w:szCs w:val="24"/>
        </w:rPr>
        <w:t>Y</w:t>
      </w:r>
    </w:p>
    <w:p w14:paraId="477EA9DB" w14:textId="77777777" w:rsidR="00B37EFF" w:rsidRPr="00B37EFF" w:rsidRDefault="00B37EFF" w:rsidP="00D73EB3">
      <w:pPr>
        <w:pStyle w:val="NormalWeb"/>
        <w:tabs>
          <w:tab w:val="left" w:pos="5760"/>
        </w:tabs>
        <w:spacing w:before="0" w:beforeAutospacing="0" w:after="0" w:afterAutospacing="0"/>
        <w:ind w:left="1440" w:right="72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B37EFF">
        <w:rPr>
          <w:rStyle w:val="Strong"/>
          <w:rFonts w:ascii="Arial" w:hAnsi="Arial" w:cs="Arial"/>
          <w:b w:val="0"/>
          <w:bCs w:val="0"/>
          <w:sz w:val="24"/>
          <w:szCs w:val="24"/>
        </w:rPr>
        <w:t>Measurement Center</w:t>
      </w:r>
    </w:p>
    <w:p w14:paraId="61470994" w14:textId="77777777" w:rsidR="00B37EFF" w:rsidRDefault="00B37EFF" w:rsidP="00D73EB3">
      <w:pPr>
        <w:pStyle w:val="NormalWeb"/>
        <w:spacing w:before="0" w:beforeAutospacing="0" w:after="0" w:afterAutospacing="0"/>
        <w:ind w:right="720"/>
        <w:rPr>
          <w:rStyle w:val="Strong"/>
          <w:rFonts w:ascii="Arial" w:hAnsi="Arial" w:cs="Arial"/>
          <w:sz w:val="24"/>
          <w:szCs w:val="24"/>
        </w:rPr>
      </w:pPr>
    </w:p>
    <w:p w14:paraId="7D47567E" w14:textId="77777777" w:rsidR="00B37EFF" w:rsidRDefault="00B37EFF" w:rsidP="00D73EB3">
      <w:pPr>
        <w:pStyle w:val="NormalWeb"/>
        <w:spacing w:before="0" w:beforeAutospacing="0" w:after="0" w:afterAutospacing="0"/>
        <w:ind w:right="72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04.</w:t>
      </w:r>
      <w:r>
        <w:rPr>
          <w:rStyle w:val="Strong"/>
          <w:rFonts w:ascii="Arial" w:hAnsi="Arial" w:cs="Arial"/>
          <w:sz w:val="24"/>
          <w:szCs w:val="24"/>
        </w:rPr>
        <w:tab/>
      </w:r>
      <w:r w:rsidRPr="00F771A8">
        <w:rPr>
          <w:rStyle w:val="Strong"/>
          <w:rFonts w:ascii="Arial" w:hAnsi="Arial" w:cs="Arial"/>
          <w:sz w:val="24"/>
          <w:szCs w:val="24"/>
        </w:rPr>
        <w:t>CERTIFICATION STATEMENT</w:t>
      </w:r>
    </w:p>
    <w:p w14:paraId="34CE16E9" w14:textId="77777777" w:rsidR="00B37EFF" w:rsidRPr="003E65EE" w:rsidRDefault="00B37EFF" w:rsidP="00D73EB3">
      <w:pPr>
        <w:pStyle w:val="NormalWeb"/>
        <w:spacing w:before="0" w:beforeAutospacing="0" w:after="0" w:afterAutospacing="0"/>
        <w:ind w:left="720" w:righ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51BB4A" w14:textId="77777777" w:rsidR="00B37EFF" w:rsidRDefault="00B37EFF" w:rsidP="00D73EB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FDA">
        <w:rPr>
          <w:rFonts w:ascii="Arial" w:hAnsi="Arial" w:cs="Arial"/>
          <w:sz w:val="24"/>
          <w:szCs w:val="24"/>
        </w:rPr>
        <w:t>This PPS has been approved by the</w:t>
      </w:r>
      <w:r>
        <w:rPr>
          <w:rFonts w:ascii="Arial" w:hAnsi="Arial" w:cs="Arial"/>
          <w:sz w:val="24"/>
          <w:szCs w:val="24"/>
        </w:rPr>
        <w:t xml:space="preserve"> following</w:t>
      </w:r>
      <w:r w:rsidRPr="00332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individuals in their official capacities</w:t>
      </w:r>
      <w:r w:rsidRPr="00332FDA">
        <w:rPr>
          <w:rFonts w:ascii="Arial" w:hAnsi="Arial" w:cs="Arial"/>
          <w:sz w:val="24"/>
          <w:szCs w:val="24"/>
        </w:rPr>
        <w:t xml:space="preserve"> and repr</w:t>
      </w:r>
      <w:r>
        <w:rPr>
          <w:rFonts w:ascii="Arial" w:hAnsi="Arial" w:cs="Arial"/>
          <w:sz w:val="24"/>
          <w:szCs w:val="24"/>
        </w:rPr>
        <w:t>esents Texas State</w:t>
      </w:r>
      <w:r w:rsidRPr="00332FDA">
        <w:rPr>
          <w:rFonts w:ascii="Arial" w:hAnsi="Arial" w:cs="Arial"/>
          <w:sz w:val="24"/>
          <w:szCs w:val="24"/>
        </w:rPr>
        <w:t xml:space="preserve"> Academic Affairs policy and procedure from the date of this document until superseded.</w:t>
      </w:r>
    </w:p>
    <w:p w14:paraId="178AED23" w14:textId="77777777" w:rsidR="00B37EFF" w:rsidRDefault="00B37EFF" w:rsidP="00D73EB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7B816BB" w14:textId="3A41C4BB" w:rsidR="00B37EFF" w:rsidRDefault="00B37EFF" w:rsidP="00D73EB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Director, Testing, Evaluation</w:t>
      </w:r>
      <w:r w:rsidR="00E233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Measurement Center; senior reviewer of this PPS</w:t>
      </w:r>
    </w:p>
    <w:p w14:paraId="7C4CD48E" w14:textId="77777777" w:rsidR="00B37EFF" w:rsidRDefault="00B37EFF" w:rsidP="00D73EB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6CEFADD" w14:textId="781F2E36" w:rsidR="00B37EFF" w:rsidRDefault="006E4356" w:rsidP="00D73EB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Vice Provost for Experiential and Academic Initiatives</w:t>
      </w:r>
    </w:p>
    <w:p w14:paraId="377AA806" w14:textId="77777777" w:rsidR="00103D04" w:rsidRDefault="00103D04" w:rsidP="00D73EB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FEDAAB9" w14:textId="2081E1C3" w:rsidR="00B37EFF" w:rsidRPr="0070350C" w:rsidRDefault="00B37EFF" w:rsidP="0070350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Provost</w:t>
      </w:r>
      <w:r w:rsidRPr="00332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6E4356">
        <w:rPr>
          <w:rFonts w:ascii="Arial" w:hAnsi="Arial" w:cs="Arial"/>
          <w:sz w:val="24"/>
          <w:szCs w:val="24"/>
        </w:rPr>
        <w:t xml:space="preserve">Executive </w:t>
      </w:r>
      <w:r>
        <w:rPr>
          <w:rFonts w:ascii="Arial" w:hAnsi="Arial" w:cs="Arial"/>
          <w:sz w:val="24"/>
          <w:szCs w:val="24"/>
        </w:rPr>
        <w:t xml:space="preserve">Vice President for Academic Affairs </w:t>
      </w:r>
    </w:p>
    <w:sectPr w:rsidR="00B37EFF" w:rsidRPr="0070350C" w:rsidSect="00B37EFF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0634" w14:textId="77777777" w:rsidR="00B757A5" w:rsidRDefault="00B757A5" w:rsidP="00B37EFF">
      <w:pPr>
        <w:spacing w:after="0" w:line="240" w:lineRule="auto"/>
      </w:pPr>
      <w:r>
        <w:separator/>
      </w:r>
    </w:p>
  </w:endnote>
  <w:endnote w:type="continuationSeparator" w:id="0">
    <w:p w14:paraId="711BF2EF" w14:textId="77777777" w:rsidR="00B757A5" w:rsidRDefault="00B757A5" w:rsidP="00B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C548" w14:textId="77777777" w:rsidR="00B757A5" w:rsidRDefault="00B757A5" w:rsidP="00B37EFF">
      <w:pPr>
        <w:spacing w:after="0" w:line="240" w:lineRule="auto"/>
      </w:pPr>
      <w:r>
        <w:separator/>
      </w:r>
    </w:p>
  </w:footnote>
  <w:footnote w:type="continuationSeparator" w:id="0">
    <w:p w14:paraId="45226367" w14:textId="77777777" w:rsidR="00B757A5" w:rsidRDefault="00B757A5" w:rsidP="00B3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A604" w14:textId="77777777" w:rsidR="00DC552D" w:rsidRDefault="00DC552D" w:rsidP="004779C9">
    <w:pPr>
      <w:pStyle w:val="Header"/>
      <w:jc w:val="center"/>
    </w:pPr>
  </w:p>
  <w:p w14:paraId="4FC9A4F8" w14:textId="77777777" w:rsidR="00DC552D" w:rsidRDefault="00DC5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FF"/>
    <w:rsid w:val="000237EF"/>
    <w:rsid w:val="00103D04"/>
    <w:rsid w:val="00144460"/>
    <w:rsid w:val="00163349"/>
    <w:rsid w:val="001C3DB2"/>
    <w:rsid w:val="001E34C7"/>
    <w:rsid w:val="00244742"/>
    <w:rsid w:val="00285E68"/>
    <w:rsid w:val="00307006"/>
    <w:rsid w:val="00410AC4"/>
    <w:rsid w:val="00434639"/>
    <w:rsid w:val="006E4356"/>
    <w:rsid w:val="0070350C"/>
    <w:rsid w:val="00703A3A"/>
    <w:rsid w:val="00813108"/>
    <w:rsid w:val="008442C9"/>
    <w:rsid w:val="008839F8"/>
    <w:rsid w:val="008D624A"/>
    <w:rsid w:val="00920C3C"/>
    <w:rsid w:val="00996E1B"/>
    <w:rsid w:val="009E083A"/>
    <w:rsid w:val="00B37EFF"/>
    <w:rsid w:val="00B55F9A"/>
    <w:rsid w:val="00B757A5"/>
    <w:rsid w:val="00C30342"/>
    <w:rsid w:val="00CA102D"/>
    <w:rsid w:val="00CB22ED"/>
    <w:rsid w:val="00CD782F"/>
    <w:rsid w:val="00D24EB1"/>
    <w:rsid w:val="00D70C00"/>
    <w:rsid w:val="00D73EB3"/>
    <w:rsid w:val="00DC552D"/>
    <w:rsid w:val="00E233BA"/>
    <w:rsid w:val="00ED7C8E"/>
    <w:rsid w:val="00EE7CF8"/>
    <w:rsid w:val="00EF06ED"/>
    <w:rsid w:val="00F20B08"/>
    <w:rsid w:val="00F567B7"/>
    <w:rsid w:val="00F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7A991"/>
  <w15:chartTrackingRefBased/>
  <w15:docId w15:val="{7C415C4D-F13D-4CFA-A58D-26B98345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FF"/>
  </w:style>
  <w:style w:type="paragraph" w:styleId="Footer">
    <w:name w:val="footer"/>
    <w:basedOn w:val="Normal"/>
    <w:link w:val="FooterChar"/>
    <w:uiPriority w:val="99"/>
    <w:unhideWhenUsed/>
    <w:rsid w:val="00B3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FF"/>
  </w:style>
  <w:style w:type="character" w:styleId="Hyperlink">
    <w:name w:val="Hyperlink"/>
    <w:uiPriority w:val="99"/>
    <w:unhideWhenUsed/>
    <w:rsid w:val="00B37E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7EFF"/>
    <w:pPr>
      <w:spacing w:before="100" w:beforeAutospacing="1" w:after="100" w:afterAutospacing="1" w:line="240" w:lineRule="auto"/>
    </w:pPr>
    <w:rPr>
      <w:rFonts w:ascii="Times" w:eastAsia="Times New Roman" w:hAnsi="Times" w:cs="Times"/>
      <w:sz w:val="20"/>
      <w:szCs w:val="20"/>
    </w:rPr>
  </w:style>
  <w:style w:type="character" w:styleId="Strong">
    <w:name w:val="Strong"/>
    <w:uiPriority w:val="22"/>
    <w:qFormat/>
    <w:rsid w:val="00B37EF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0C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0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782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rsid w:val="00410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10AC4"/>
    <w:rPr>
      <w:rFonts w:ascii="Arial Unicode MS" w:eastAsia="Arial Unicode MS" w:hAnsi="Arial Unicode MS" w:cs="Arial Unicode M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23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wls.txstate.edu/undergraduate-degrees/credit-by-exa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xstate.edu/tem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xstate.edu/trec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Iza N</dc:creator>
  <cp:keywords/>
  <dc:description/>
  <cp:lastModifiedBy>Martinez, Iza N</cp:lastModifiedBy>
  <cp:revision>2</cp:revision>
  <cp:lastPrinted>2021-06-25T13:33:00Z</cp:lastPrinted>
  <dcterms:created xsi:type="dcterms:W3CDTF">2023-10-20T14:49:00Z</dcterms:created>
  <dcterms:modified xsi:type="dcterms:W3CDTF">2023-10-20T14:49:00Z</dcterms:modified>
</cp:coreProperties>
</file>