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8D700" w14:textId="32588B25" w:rsidR="004B628C" w:rsidRPr="004631BF" w:rsidRDefault="004B628C" w:rsidP="0020093E">
      <w:pPr>
        <w:spacing w:before="120" w:after="120"/>
        <w:jc w:val="center"/>
        <w:rPr>
          <w:color w:val="000000" w:themeColor="text1"/>
        </w:rPr>
      </w:pPr>
      <w:r w:rsidRPr="004631BF">
        <w:rPr>
          <w:color w:val="000000" w:themeColor="text1"/>
        </w:rPr>
        <w:t>Shannon E. Duffy, Ph</w:t>
      </w:r>
      <w:r w:rsidR="003D613F" w:rsidRPr="004631BF">
        <w:rPr>
          <w:color w:val="000000" w:themeColor="text1"/>
        </w:rPr>
        <w:t>.</w:t>
      </w:r>
      <w:r w:rsidRPr="004631BF">
        <w:rPr>
          <w:color w:val="000000" w:themeColor="text1"/>
        </w:rPr>
        <w:t>D.</w:t>
      </w:r>
    </w:p>
    <w:p w14:paraId="202ABAAC" w14:textId="72473870" w:rsidR="004B628C" w:rsidRPr="004631BF" w:rsidRDefault="004B628C" w:rsidP="0020093E">
      <w:pPr>
        <w:spacing w:before="120" w:after="120"/>
        <w:jc w:val="center"/>
        <w:rPr>
          <w:color w:val="000000" w:themeColor="text1"/>
        </w:rPr>
      </w:pPr>
      <w:r w:rsidRPr="004631BF">
        <w:rPr>
          <w:color w:val="000000" w:themeColor="text1"/>
        </w:rPr>
        <w:t>Senior Lecturer, Department of History</w:t>
      </w:r>
    </w:p>
    <w:p w14:paraId="314D2217" w14:textId="7877598A" w:rsidR="004B628C" w:rsidRPr="004631BF" w:rsidRDefault="004B628C" w:rsidP="0020093E">
      <w:pPr>
        <w:spacing w:before="120" w:after="120"/>
        <w:jc w:val="center"/>
        <w:rPr>
          <w:color w:val="000000" w:themeColor="text1"/>
        </w:rPr>
      </w:pPr>
      <w:r w:rsidRPr="004631BF">
        <w:rPr>
          <w:color w:val="000000" w:themeColor="text1"/>
        </w:rPr>
        <w:t>Texas State University Senate Fellow, 2019-2020</w:t>
      </w:r>
    </w:p>
    <w:p w14:paraId="15B30057" w14:textId="0154F36F" w:rsidR="004B628C" w:rsidRPr="004631BF" w:rsidRDefault="004B628C" w:rsidP="0020093E">
      <w:pPr>
        <w:pBdr>
          <w:bottom w:val="single" w:sz="4" w:space="1" w:color="auto"/>
        </w:pBdr>
        <w:spacing w:before="120" w:after="120"/>
        <w:jc w:val="center"/>
        <w:rPr>
          <w:color w:val="000000" w:themeColor="text1"/>
        </w:rPr>
      </w:pPr>
      <w:r w:rsidRPr="004631BF">
        <w:rPr>
          <w:color w:val="000000" w:themeColor="text1"/>
        </w:rPr>
        <w:t>Senate Fellow Report</w:t>
      </w:r>
    </w:p>
    <w:p w14:paraId="330B9E99" w14:textId="77777777" w:rsidR="004B628C" w:rsidRPr="004631BF" w:rsidRDefault="004B628C" w:rsidP="0020093E">
      <w:pPr>
        <w:spacing w:before="120" w:after="120" w:line="480" w:lineRule="auto"/>
        <w:rPr>
          <w:color w:val="000000" w:themeColor="text1"/>
        </w:rPr>
      </w:pPr>
    </w:p>
    <w:p w14:paraId="504B7FFB" w14:textId="4EF61223" w:rsidR="007C6556" w:rsidRPr="004631BF" w:rsidRDefault="007C6556" w:rsidP="0020093E">
      <w:pPr>
        <w:spacing w:before="120" w:after="120" w:line="480" w:lineRule="auto"/>
        <w:rPr>
          <w:color w:val="000000" w:themeColor="text1"/>
        </w:rPr>
      </w:pPr>
      <w:r w:rsidRPr="004631BF">
        <w:rPr>
          <w:color w:val="000000" w:themeColor="text1"/>
        </w:rPr>
        <w:tab/>
      </w:r>
      <w:r w:rsidR="00E75273" w:rsidRPr="004631BF">
        <w:rPr>
          <w:color w:val="000000" w:themeColor="text1"/>
        </w:rPr>
        <w:t xml:space="preserve">After </w:t>
      </w:r>
      <w:r w:rsidR="00A17988" w:rsidRPr="004631BF">
        <w:rPr>
          <w:color w:val="000000" w:themeColor="text1"/>
        </w:rPr>
        <w:t xml:space="preserve">my </w:t>
      </w:r>
      <w:r w:rsidRPr="004631BF">
        <w:rPr>
          <w:color w:val="000000" w:themeColor="text1"/>
        </w:rPr>
        <w:t xml:space="preserve">year-long position as </w:t>
      </w:r>
      <w:r w:rsidR="00E75273" w:rsidRPr="004631BF">
        <w:rPr>
          <w:color w:val="000000" w:themeColor="text1"/>
        </w:rPr>
        <w:t xml:space="preserve">Texas State University Faculty </w:t>
      </w:r>
      <w:r w:rsidRPr="004631BF">
        <w:rPr>
          <w:color w:val="000000" w:themeColor="text1"/>
        </w:rPr>
        <w:t>Senate Fellow</w:t>
      </w:r>
      <w:r w:rsidR="00E75273" w:rsidRPr="004631BF">
        <w:rPr>
          <w:color w:val="000000" w:themeColor="text1"/>
        </w:rPr>
        <w:t xml:space="preserve"> (</w:t>
      </w:r>
      <w:r w:rsidR="00A54CE8" w:rsidRPr="004631BF">
        <w:rPr>
          <w:color w:val="000000" w:themeColor="text1"/>
        </w:rPr>
        <w:t>2019-202</w:t>
      </w:r>
      <w:r w:rsidR="00E75273" w:rsidRPr="004631BF">
        <w:rPr>
          <w:color w:val="000000" w:themeColor="text1"/>
        </w:rPr>
        <w:t>0)</w:t>
      </w:r>
      <w:r w:rsidR="00A54CE8" w:rsidRPr="004631BF">
        <w:rPr>
          <w:color w:val="000000" w:themeColor="text1"/>
        </w:rPr>
        <w:t xml:space="preserve">, </w:t>
      </w:r>
      <w:r w:rsidRPr="004631BF">
        <w:rPr>
          <w:color w:val="000000" w:themeColor="text1"/>
        </w:rPr>
        <w:t xml:space="preserve">I better understand the role of academic freedom in American universities, given the rise of contingent faculty labor both here at Texas State and nationwide. </w:t>
      </w:r>
      <w:r w:rsidR="00E75273" w:rsidRPr="004631BF">
        <w:rPr>
          <w:color w:val="000000" w:themeColor="text1"/>
        </w:rPr>
        <w:t>While spending</w:t>
      </w:r>
      <w:r w:rsidRPr="004631BF">
        <w:rPr>
          <w:color w:val="000000" w:themeColor="text1"/>
        </w:rPr>
        <w:t xml:space="preserve"> this year listening to faculty</w:t>
      </w:r>
      <w:r w:rsidR="00A54CE8" w:rsidRPr="004631BF">
        <w:rPr>
          <w:color w:val="000000" w:themeColor="text1"/>
        </w:rPr>
        <w:t>,</w:t>
      </w:r>
      <w:r w:rsidRPr="004631BF">
        <w:rPr>
          <w:color w:val="000000" w:themeColor="text1"/>
        </w:rPr>
        <w:t xml:space="preserve"> </w:t>
      </w:r>
      <w:r w:rsidR="00A54CE8" w:rsidRPr="004631BF">
        <w:rPr>
          <w:color w:val="000000" w:themeColor="text1"/>
        </w:rPr>
        <w:t xml:space="preserve">staff, and </w:t>
      </w:r>
      <w:r w:rsidRPr="004631BF">
        <w:rPr>
          <w:color w:val="000000" w:themeColor="text1"/>
        </w:rPr>
        <w:t>students</w:t>
      </w:r>
      <w:r w:rsidR="00E75273" w:rsidRPr="004631BF">
        <w:rPr>
          <w:color w:val="000000" w:themeColor="text1"/>
        </w:rPr>
        <w:t>’</w:t>
      </w:r>
      <w:r w:rsidRPr="004631BF">
        <w:rPr>
          <w:color w:val="000000" w:themeColor="text1"/>
        </w:rPr>
        <w:t xml:space="preserve"> </w:t>
      </w:r>
      <w:r w:rsidR="006920DF" w:rsidRPr="004631BF">
        <w:rPr>
          <w:color w:val="000000" w:themeColor="text1"/>
        </w:rPr>
        <w:t>thoughts</w:t>
      </w:r>
      <w:r w:rsidR="00E75273" w:rsidRPr="004631BF">
        <w:rPr>
          <w:color w:val="000000" w:themeColor="text1"/>
        </w:rPr>
        <w:t xml:space="preserve"> </w:t>
      </w:r>
      <w:r w:rsidRPr="004631BF">
        <w:rPr>
          <w:color w:val="000000" w:themeColor="text1"/>
        </w:rPr>
        <w:t xml:space="preserve">on issues related to academic freedom, </w:t>
      </w:r>
      <w:r w:rsidR="00E75273" w:rsidRPr="004631BF">
        <w:rPr>
          <w:color w:val="000000" w:themeColor="text1"/>
        </w:rPr>
        <w:t xml:space="preserve">I researched </w:t>
      </w:r>
      <w:r w:rsidRPr="004631BF">
        <w:rPr>
          <w:color w:val="000000" w:themeColor="text1"/>
        </w:rPr>
        <w:t xml:space="preserve">academic freedom cases and university policies related to academic freedom </w:t>
      </w:r>
      <w:r w:rsidR="00C100C1" w:rsidRPr="004631BF">
        <w:rPr>
          <w:color w:val="000000" w:themeColor="text1"/>
        </w:rPr>
        <w:t>in the past decade</w:t>
      </w:r>
      <w:r w:rsidRPr="004631BF">
        <w:rPr>
          <w:color w:val="000000" w:themeColor="text1"/>
        </w:rPr>
        <w:t>. While</w:t>
      </w:r>
      <w:r w:rsidR="00E75273" w:rsidRPr="004631BF">
        <w:rPr>
          <w:color w:val="000000" w:themeColor="text1"/>
        </w:rPr>
        <w:t xml:space="preserve"> the media </w:t>
      </w:r>
      <w:r w:rsidR="00C100C1" w:rsidRPr="004631BF">
        <w:rPr>
          <w:color w:val="000000" w:themeColor="text1"/>
        </w:rPr>
        <w:t xml:space="preserve">generally </w:t>
      </w:r>
      <w:r w:rsidR="00E75273" w:rsidRPr="004631BF">
        <w:rPr>
          <w:color w:val="000000" w:themeColor="text1"/>
        </w:rPr>
        <w:t>report such</w:t>
      </w:r>
      <w:r w:rsidRPr="004631BF">
        <w:rPr>
          <w:color w:val="000000" w:themeColor="text1"/>
        </w:rPr>
        <w:t xml:space="preserve"> issues either in terms of conservative attacks on universities, or alternately leftist attacks on conservative professors, I believe </w:t>
      </w:r>
      <w:r w:rsidR="00E75273" w:rsidRPr="004631BF">
        <w:rPr>
          <w:color w:val="000000" w:themeColor="text1"/>
        </w:rPr>
        <w:t>a</w:t>
      </w:r>
      <w:r w:rsidRPr="004631BF">
        <w:rPr>
          <w:color w:val="000000" w:themeColor="text1"/>
        </w:rPr>
        <w:t xml:space="preserve"> larger issue stems from growth of contingent faculty</w:t>
      </w:r>
      <w:r w:rsidR="00E75273" w:rsidRPr="004631BF">
        <w:rPr>
          <w:color w:val="000000" w:themeColor="text1"/>
        </w:rPr>
        <w:t xml:space="preserve"> nationwide</w:t>
      </w:r>
      <w:r w:rsidRPr="004631BF">
        <w:rPr>
          <w:color w:val="000000" w:themeColor="text1"/>
        </w:rPr>
        <w:t xml:space="preserve">, without clear job security, combined with </w:t>
      </w:r>
      <w:r w:rsidR="00E75273" w:rsidRPr="004631BF">
        <w:rPr>
          <w:color w:val="000000" w:themeColor="text1"/>
        </w:rPr>
        <w:t xml:space="preserve">social media’s </w:t>
      </w:r>
      <w:r w:rsidRPr="004631BF">
        <w:rPr>
          <w:color w:val="000000" w:themeColor="text1"/>
        </w:rPr>
        <w:t>rise as</w:t>
      </w:r>
      <w:r w:rsidR="00E75273" w:rsidRPr="004631BF">
        <w:rPr>
          <w:color w:val="000000" w:themeColor="text1"/>
        </w:rPr>
        <w:t xml:space="preserve"> a</w:t>
      </w:r>
      <w:r w:rsidRPr="004631BF">
        <w:rPr>
          <w:color w:val="000000" w:themeColor="text1"/>
        </w:rPr>
        <w:t xml:space="preserve"> potent force for stirring up controversies</w:t>
      </w:r>
      <w:r w:rsidR="00E75273" w:rsidRPr="004631BF">
        <w:rPr>
          <w:color w:val="000000" w:themeColor="text1"/>
        </w:rPr>
        <w:t xml:space="preserve">. Together, </w:t>
      </w:r>
      <w:r w:rsidR="00A54CE8" w:rsidRPr="004631BF">
        <w:rPr>
          <w:color w:val="000000" w:themeColor="text1"/>
        </w:rPr>
        <w:t xml:space="preserve">both trends </w:t>
      </w:r>
      <w:r w:rsidR="00E75273" w:rsidRPr="004631BF">
        <w:rPr>
          <w:color w:val="000000" w:themeColor="text1"/>
        </w:rPr>
        <w:t xml:space="preserve">underscore the need for Texas State and other U.S. institutions of higher learning to protect </w:t>
      </w:r>
      <w:r w:rsidR="00A54CE8" w:rsidRPr="004631BF">
        <w:rPr>
          <w:color w:val="000000" w:themeColor="text1"/>
        </w:rPr>
        <w:t>faculty academic freedom.</w:t>
      </w:r>
    </w:p>
    <w:p w14:paraId="446EBAAE" w14:textId="77777777" w:rsidR="001D7E87" w:rsidRPr="004631BF" w:rsidRDefault="001D7E87" w:rsidP="0020093E">
      <w:pPr>
        <w:spacing w:before="120" w:after="120" w:line="480" w:lineRule="auto"/>
        <w:rPr>
          <w:smallCaps/>
          <w:color w:val="000000" w:themeColor="text1"/>
        </w:rPr>
      </w:pPr>
    </w:p>
    <w:p w14:paraId="10E5520E" w14:textId="5666E512" w:rsidR="007C6556" w:rsidRPr="004631BF" w:rsidRDefault="007C6556" w:rsidP="0020093E">
      <w:pPr>
        <w:spacing w:before="120" w:after="120" w:line="480" w:lineRule="auto"/>
        <w:rPr>
          <w:smallCaps/>
          <w:color w:val="000000" w:themeColor="text1"/>
        </w:rPr>
      </w:pPr>
      <w:r w:rsidRPr="004631BF">
        <w:rPr>
          <w:smallCaps/>
          <w:color w:val="000000" w:themeColor="text1"/>
        </w:rPr>
        <w:t>Academic Freedom Committee</w:t>
      </w:r>
    </w:p>
    <w:p w14:paraId="1DEA6F64" w14:textId="06A88A9A" w:rsidR="008962A9" w:rsidRPr="004631BF" w:rsidRDefault="004B628C" w:rsidP="0020093E">
      <w:pPr>
        <w:spacing w:before="120" w:after="120" w:line="480" w:lineRule="auto"/>
        <w:rPr>
          <w:color w:val="000000" w:themeColor="text1"/>
        </w:rPr>
      </w:pPr>
      <w:r w:rsidRPr="004631BF">
        <w:rPr>
          <w:color w:val="000000" w:themeColor="text1"/>
        </w:rPr>
        <w:tab/>
      </w:r>
      <w:r w:rsidR="008962A9" w:rsidRPr="004631BF">
        <w:rPr>
          <w:color w:val="000000" w:themeColor="text1"/>
        </w:rPr>
        <w:t>If my own research into academic freedom incidents in the past decade has shown me anything, it is that it is crucial that universities be proactive with regard to academic freedom, and have both clear policies and statements of principles in place before a controversy hits.</w:t>
      </w:r>
      <w:r w:rsidR="00C100C1" w:rsidRPr="004631BF">
        <w:rPr>
          <w:color w:val="000000" w:themeColor="text1"/>
        </w:rPr>
        <w:t xml:space="preserve"> </w:t>
      </w:r>
      <w:r w:rsidR="007C6556" w:rsidRPr="004631BF">
        <w:rPr>
          <w:color w:val="000000" w:themeColor="text1"/>
        </w:rPr>
        <w:t xml:space="preserve">In addition to </w:t>
      </w:r>
      <w:r w:rsidR="008962A9" w:rsidRPr="004631BF">
        <w:rPr>
          <w:color w:val="000000" w:themeColor="text1"/>
        </w:rPr>
        <w:t xml:space="preserve">taking part in the deliberations of </w:t>
      </w:r>
      <w:r w:rsidR="007C6556" w:rsidRPr="004631BF">
        <w:rPr>
          <w:color w:val="000000" w:themeColor="text1"/>
        </w:rPr>
        <w:t>Texas State’s Faculty Senate on a weekly basis</w:t>
      </w:r>
      <w:r w:rsidRPr="004631BF">
        <w:rPr>
          <w:color w:val="000000" w:themeColor="text1"/>
        </w:rPr>
        <w:t>,</w:t>
      </w:r>
      <w:r w:rsidR="007C6556" w:rsidRPr="004631BF">
        <w:rPr>
          <w:color w:val="000000" w:themeColor="text1"/>
        </w:rPr>
        <w:t xml:space="preserve"> I played </w:t>
      </w:r>
      <w:r w:rsidR="00C100C1" w:rsidRPr="004631BF">
        <w:rPr>
          <w:color w:val="000000" w:themeColor="text1"/>
        </w:rPr>
        <w:t>a</w:t>
      </w:r>
      <w:r w:rsidR="007C6556" w:rsidRPr="004631BF">
        <w:rPr>
          <w:color w:val="000000" w:themeColor="text1"/>
        </w:rPr>
        <w:t xml:space="preserve"> role in the Faculty Senate’s Academic Freedom Committee (AFC), </w:t>
      </w:r>
      <w:r w:rsidR="008962A9" w:rsidRPr="004631BF">
        <w:rPr>
          <w:color w:val="000000" w:themeColor="text1"/>
        </w:rPr>
        <w:t xml:space="preserve">chaired </w:t>
      </w:r>
      <w:r w:rsidR="007C6556" w:rsidRPr="004631BF">
        <w:rPr>
          <w:color w:val="000000" w:themeColor="text1"/>
        </w:rPr>
        <w:t xml:space="preserve">by Dr. Vincent Liuzzi. During my year on the AFC, I have helped this committee by researching university policies </w:t>
      </w:r>
      <w:r w:rsidR="007C6556" w:rsidRPr="004631BF">
        <w:rPr>
          <w:color w:val="000000" w:themeColor="text1"/>
        </w:rPr>
        <w:lastRenderedPageBreak/>
        <w:t>nationwide</w:t>
      </w:r>
      <w:r w:rsidR="008962A9" w:rsidRPr="004631BF">
        <w:rPr>
          <w:color w:val="000000" w:themeColor="text1"/>
        </w:rPr>
        <w:t xml:space="preserve"> (</w:t>
      </w:r>
      <w:r w:rsidR="007C6556" w:rsidRPr="004631BF">
        <w:rPr>
          <w:color w:val="000000" w:themeColor="text1"/>
        </w:rPr>
        <w:t>particularly</w:t>
      </w:r>
      <w:r w:rsidR="008962A9" w:rsidRPr="004631BF">
        <w:rPr>
          <w:color w:val="000000" w:themeColor="text1"/>
        </w:rPr>
        <w:t xml:space="preserve">, </w:t>
      </w:r>
      <w:r w:rsidR="007C6556" w:rsidRPr="004631BF">
        <w:rPr>
          <w:color w:val="000000" w:themeColor="text1"/>
        </w:rPr>
        <w:t>the University of Chicago’s 2014 statement o</w:t>
      </w:r>
      <w:r w:rsidR="008962A9" w:rsidRPr="004631BF">
        <w:rPr>
          <w:color w:val="000000" w:themeColor="text1"/>
        </w:rPr>
        <w:t xml:space="preserve">f </w:t>
      </w:r>
      <w:r w:rsidR="007C6556" w:rsidRPr="004631BF">
        <w:rPr>
          <w:color w:val="000000" w:themeColor="text1"/>
        </w:rPr>
        <w:t>principles, adopted by 70 universities</w:t>
      </w:r>
      <w:r w:rsidR="008962A9" w:rsidRPr="004631BF">
        <w:rPr>
          <w:color w:val="000000" w:themeColor="text1"/>
        </w:rPr>
        <w:t xml:space="preserve"> to date)</w:t>
      </w:r>
      <w:r w:rsidR="007C6556" w:rsidRPr="004631BF">
        <w:rPr>
          <w:color w:val="000000" w:themeColor="text1"/>
        </w:rPr>
        <w:t>.</w:t>
      </w:r>
      <w:r w:rsidR="007C6556" w:rsidRPr="004631BF">
        <w:rPr>
          <w:rStyle w:val="FootnoteReference"/>
          <w:color w:val="000000" w:themeColor="text1"/>
        </w:rPr>
        <w:footnoteReference w:id="1"/>
      </w:r>
      <w:r w:rsidR="007C6556" w:rsidRPr="004631BF">
        <w:rPr>
          <w:color w:val="000000" w:themeColor="text1"/>
        </w:rPr>
        <w:t xml:space="preserve"> </w:t>
      </w:r>
      <w:r w:rsidR="008962A9" w:rsidRPr="004631BF">
        <w:rPr>
          <w:color w:val="000000" w:themeColor="text1"/>
        </w:rPr>
        <w:t xml:space="preserve">On behalf of the AFC, </w:t>
      </w:r>
      <w:r w:rsidR="007C6556" w:rsidRPr="004631BF">
        <w:rPr>
          <w:color w:val="000000" w:themeColor="text1"/>
        </w:rPr>
        <w:t xml:space="preserve">I </w:t>
      </w:r>
      <w:r w:rsidR="008962A9" w:rsidRPr="004631BF">
        <w:rPr>
          <w:color w:val="000000" w:themeColor="text1"/>
        </w:rPr>
        <w:t xml:space="preserve">took responsibility for </w:t>
      </w:r>
      <w:r w:rsidR="007C6556" w:rsidRPr="004631BF">
        <w:rPr>
          <w:color w:val="000000" w:themeColor="text1"/>
        </w:rPr>
        <w:t xml:space="preserve">background research on Texas State’s own passage of the Chicago statement </w:t>
      </w:r>
      <w:r w:rsidR="00C100C1" w:rsidRPr="004631BF">
        <w:rPr>
          <w:color w:val="000000" w:themeColor="text1"/>
        </w:rPr>
        <w:t>in</w:t>
      </w:r>
      <w:r w:rsidR="008962A9" w:rsidRPr="004631BF">
        <w:rPr>
          <w:color w:val="000000" w:themeColor="text1"/>
        </w:rPr>
        <w:t xml:space="preserve"> </w:t>
      </w:r>
      <w:r w:rsidR="00A54CE8" w:rsidRPr="004631BF">
        <w:rPr>
          <w:color w:val="000000" w:themeColor="text1"/>
        </w:rPr>
        <w:t xml:space="preserve">2018, </w:t>
      </w:r>
      <w:r w:rsidR="008962A9" w:rsidRPr="004631BF">
        <w:rPr>
          <w:color w:val="000000" w:themeColor="text1"/>
        </w:rPr>
        <w:t xml:space="preserve">and surveyed </w:t>
      </w:r>
      <w:r w:rsidR="007C6556" w:rsidRPr="004631BF">
        <w:rPr>
          <w:color w:val="000000" w:themeColor="text1"/>
        </w:rPr>
        <w:t>debate</w:t>
      </w:r>
      <w:r w:rsidR="008962A9" w:rsidRPr="004631BF">
        <w:rPr>
          <w:color w:val="000000" w:themeColor="text1"/>
        </w:rPr>
        <w:t>s</w:t>
      </w:r>
      <w:r w:rsidR="007C6556" w:rsidRPr="004631BF">
        <w:rPr>
          <w:color w:val="000000" w:themeColor="text1"/>
        </w:rPr>
        <w:t xml:space="preserve"> </w:t>
      </w:r>
      <w:r w:rsidR="008962A9" w:rsidRPr="004631BF">
        <w:rPr>
          <w:color w:val="000000" w:themeColor="text1"/>
        </w:rPr>
        <w:t xml:space="preserve">inspired by </w:t>
      </w:r>
      <w:r w:rsidR="007C6556" w:rsidRPr="004631BF">
        <w:rPr>
          <w:color w:val="000000" w:themeColor="text1"/>
        </w:rPr>
        <w:t xml:space="preserve">the statement </w:t>
      </w:r>
      <w:r w:rsidR="008962A9" w:rsidRPr="004631BF">
        <w:rPr>
          <w:color w:val="000000" w:themeColor="text1"/>
        </w:rPr>
        <w:t xml:space="preserve">at </w:t>
      </w:r>
      <w:r w:rsidR="007C6556" w:rsidRPr="004631BF">
        <w:rPr>
          <w:color w:val="000000" w:themeColor="text1"/>
        </w:rPr>
        <w:t xml:space="preserve">other universities in Texas and nationwide. I </w:t>
      </w:r>
      <w:r w:rsidR="008962A9" w:rsidRPr="004631BF">
        <w:rPr>
          <w:color w:val="000000" w:themeColor="text1"/>
        </w:rPr>
        <w:t xml:space="preserve">also contributed to </w:t>
      </w:r>
      <w:r w:rsidRPr="004631BF">
        <w:rPr>
          <w:color w:val="000000" w:themeColor="text1"/>
        </w:rPr>
        <w:t>proposed PPS policies related to both academic freedom and cyber-bullying</w:t>
      </w:r>
      <w:r w:rsidR="008962A9" w:rsidRPr="004631BF">
        <w:rPr>
          <w:color w:val="000000" w:themeColor="text1"/>
        </w:rPr>
        <w:t xml:space="preserve"> to </w:t>
      </w:r>
      <w:r w:rsidRPr="004631BF">
        <w:rPr>
          <w:color w:val="000000" w:themeColor="text1"/>
        </w:rPr>
        <w:t xml:space="preserve">be taken up </w:t>
      </w:r>
      <w:r w:rsidR="00A54CE8" w:rsidRPr="004631BF">
        <w:rPr>
          <w:color w:val="000000" w:themeColor="text1"/>
        </w:rPr>
        <w:t xml:space="preserve">by the Faculty Senate </w:t>
      </w:r>
      <w:r w:rsidRPr="004631BF">
        <w:rPr>
          <w:color w:val="000000" w:themeColor="text1"/>
        </w:rPr>
        <w:t>next year</w:t>
      </w:r>
      <w:r w:rsidR="00A54CE8" w:rsidRPr="004631BF">
        <w:rPr>
          <w:color w:val="000000" w:themeColor="text1"/>
        </w:rPr>
        <w:t>,</w:t>
      </w:r>
      <w:r w:rsidRPr="004631BF">
        <w:rPr>
          <w:color w:val="000000" w:themeColor="text1"/>
        </w:rPr>
        <w:t xml:space="preserve"> once Texas State completes SACS accreditation. </w:t>
      </w:r>
    </w:p>
    <w:p w14:paraId="1DA68144" w14:textId="47E7C692" w:rsidR="007C6556" w:rsidRPr="004631BF" w:rsidRDefault="008962A9" w:rsidP="00810214">
      <w:pPr>
        <w:spacing w:before="120" w:after="120" w:line="480" w:lineRule="auto"/>
        <w:ind w:firstLine="720"/>
        <w:rPr>
          <w:color w:val="000000" w:themeColor="text1"/>
        </w:rPr>
      </w:pPr>
      <w:r w:rsidRPr="004631BF">
        <w:rPr>
          <w:color w:val="000000" w:themeColor="text1"/>
        </w:rPr>
        <w:t xml:space="preserve">Furthermore, </w:t>
      </w:r>
      <w:r w:rsidR="004B628C" w:rsidRPr="004631BF">
        <w:rPr>
          <w:color w:val="000000" w:themeColor="text1"/>
        </w:rPr>
        <w:t xml:space="preserve">I </w:t>
      </w:r>
      <w:r w:rsidRPr="004631BF">
        <w:rPr>
          <w:color w:val="000000" w:themeColor="text1"/>
        </w:rPr>
        <w:t>responded to</w:t>
      </w:r>
      <w:r w:rsidR="004B628C" w:rsidRPr="004631BF">
        <w:rPr>
          <w:color w:val="000000" w:themeColor="text1"/>
        </w:rPr>
        <w:t xml:space="preserve"> issues </w:t>
      </w:r>
      <w:r w:rsidRPr="004631BF">
        <w:rPr>
          <w:color w:val="000000" w:themeColor="text1"/>
        </w:rPr>
        <w:t>reaching</w:t>
      </w:r>
      <w:r w:rsidR="004B628C" w:rsidRPr="004631BF">
        <w:rPr>
          <w:color w:val="000000" w:themeColor="text1"/>
        </w:rPr>
        <w:t xml:space="preserve"> the AFC through its new anonymous portal. </w:t>
      </w:r>
      <w:r w:rsidR="006C09C3" w:rsidRPr="004631BF">
        <w:rPr>
          <w:color w:val="000000" w:themeColor="text1"/>
        </w:rPr>
        <w:t xml:space="preserve">Before the university went to remote learning due to Covid-19, the AFC was </w:t>
      </w:r>
      <w:r w:rsidRPr="004631BF">
        <w:rPr>
          <w:color w:val="000000" w:themeColor="text1"/>
        </w:rPr>
        <w:t xml:space="preserve">in the midst of </w:t>
      </w:r>
      <w:r w:rsidR="006C09C3" w:rsidRPr="004631BF">
        <w:rPr>
          <w:color w:val="000000" w:themeColor="text1"/>
        </w:rPr>
        <w:t xml:space="preserve">compiling a list of questions </w:t>
      </w:r>
      <w:r w:rsidR="00D52012" w:rsidRPr="004631BF">
        <w:rPr>
          <w:color w:val="000000" w:themeColor="text1"/>
        </w:rPr>
        <w:t>and incident reports</w:t>
      </w:r>
      <w:r w:rsidR="006C09C3" w:rsidRPr="004631BF">
        <w:rPr>
          <w:color w:val="000000" w:themeColor="text1"/>
        </w:rPr>
        <w:t xml:space="preserve"> that had </w:t>
      </w:r>
      <w:r w:rsidR="00A54CE8" w:rsidRPr="004631BF">
        <w:rPr>
          <w:color w:val="000000" w:themeColor="text1"/>
        </w:rPr>
        <w:t>reached it</w:t>
      </w:r>
      <w:r w:rsidR="006C09C3" w:rsidRPr="004631BF">
        <w:rPr>
          <w:color w:val="000000" w:themeColor="text1"/>
        </w:rPr>
        <w:t xml:space="preserve"> through this portal</w:t>
      </w:r>
      <w:r w:rsidR="00A54CE8" w:rsidRPr="004631BF">
        <w:rPr>
          <w:color w:val="000000" w:themeColor="text1"/>
        </w:rPr>
        <w:t>,</w:t>
      </w:r>
      <w:r w:rsidR="00AF79EC" w:rsidRPr="004631BF">
        <w:rPr>
          <w:color w:val="000000" w:themeColor="text1"/>
        </w:rPr>
        <w:t xml:space="preserve"> and</w:t>
      </w:r>
      <w:r w:rsidR="006C09C3" w:rsidRPr="004631BF">
        <w:rPr>
          <w:color w:val="000000" w:themeColor="text1"/>
        </w:rPr>
        <w:t xml:space="preserve"> creating a database of FAQ to be able to answer some of the</w:t>
      </w:r>
      <w:r w:rsidR="00A54CE8" w:rsidRPr="004631BF">
        <w:rPr>
          <w:color w:val="000000" w:themeColor="text1"/>
        </w:rPr>
        <w:t>se questions</w:t>
      </w:r>
      <w:r w:rsidR="006C09C3" w:rsidRPr="004631BF">
        <w:rPr>
          <w:color w:val="000000" w:themeColor="text1"/>
        </w:rPr>
        <w:t xml:space="preserve"> while preserving </w:t>
      </w:r>
      <w:r w:rsidR="00A54CE8" w:rsidRPr="004631BF">
        <w:rPr>
          <w:color w:val="000000" w:themeColor="text1"/>
        </w:rPr>
        <w:t xml:space="preserve">the questioners’ </w:t>
      </w:r>
      <w:r w:rsidR="006C09C3" w:rsidRPr="004631BF">
        <w:rPr>
          <w:color w:val="000000" w:themeColor="text1"/>
        </w:rPr>
        <w:t xml:space="preserve">anonymity. While this work has been paused due to the temporary budget cuts, </w:t>
      </w:r>
      <w:r w:rsidR="00AF79EC" w:rsidRPr="004631BF">
        <w:rPr>
          <w:color w:val="000000" w:themeColor="text1"/>
        </w:rPr>
        <w:t xml:space="preserve">we </w:t>
      </w:r>
      <w:r w:rsidRPr="004631BF">
        <w:rPr>
          <w:color w:val="000000" w:themeColor="text1"/>
        </w:rPr>
        <w:t>expect it to resume</w:t>
      </w:r>
      <w:r w:rsidR="006C09C3" w:rsidRPr="004631BF">
        <w:rPr>
          <w:color w:val="000000" w:themeColor="text1"/>
        </w:rPr>
        <w:t xml:space="preserve"> once conditions normalize. </w:t>
      </w:r>
    </w:p>
    <w:p w14:paraId="010FF6F9" w14:textId="77777777" w:rsidR="001D7E87" w:rsidRPr="004631BF" w:rsidRDefault="001D7E87" w:rsidP="0020093E">
      <w:pPr>
        <w:pStyle w:val="Heading2"/>
        <w:spacing w:before="120" w:after="120" w:line="480" w:lineRule="auto"/>
        <w:rPr>
          <w:color w:val="000000" w:themeColor="text1"/>
        </w:rPr>
      </w:pPr>
    </w:p>
    <w:p w14:paraId="15FDCEC2" w14:textId="66FC8890" w:rsidR="00922E41" w:rsidRPr="004631BF" w:rsidRDefault="00990DCD" w:rsidP="0020093E">
      <w:pPr>
        <w:pStyle w:val="Heading2"/>
        <w:spacing w:before="120" w:after="120" w:line="480" w:lineRule="auto"/>
        <w:rPr>
          <w:color w:val="000000" w:themeColor="text1"/>
        </w:rPr>
      </w:pPr>
      <w:r w:rsidRPr="004631BF">
        <w:rPr>
          <w:color w:val="000000" w:themeColor="text1"/>
        </w:rPr>
        <w:t>Nontenure Line Faculty Committee Work</w:t>
      </w:r>
    </w:p>
    <w:p w14:paraId="4B8AA735" w14:textId="15D53CC0" w:rsidR="008962A9" w:rsidRPr="004631BF" w:rsidRDefault="006C09C3" w:rsidP="0020093E">
      <w:pPr>
        <w:spacing w:before="120" w:after="120" w:line="480" w:lineRule="auto"/>
        <w:rPr>
          <w:color w:val="000000" w:themeColor="text1"/>
        </w:rPr>
      </w:pPr>
      <w:r w:rsidRPr="004631BF">
        <w:rPr>
          <w:color w:val="000000" w:themeColor="text1"/>
        </w:rPr>
        <w:tab/>
      </w:r>
      <w:r w:rsidR="008962A9" w:rsidRPr="004631BF">
        <w:rPr>
          <w:color w:val="000000" w:themeColor="text1"/>
        </w:rPr>
        <w:t>O</w:t>
      </w:r>
      <w:r w:rsidRPr="004631BF">
        <w:rPr>
          <w:color w:val="000000" w:themeColor="text1"/>
        </w:rPr>
        <w:t>n behalf o</w:t>
      </w:r>
      <w:r w:rsidR="00E379A6" w:rsidRPr="004631BF">
        <w:rPr>
          <w:color w:val="000000" w:themeColor="text1"/>
        </w:rPr>
        <w:t>f</w:t>
      </w:r>
      <w:r w:rsidRPr="004631BF">
        <w:rPr>
          <w:color w:val="000000" w:themeColor="text1"/>
        </w:rPr>
        <w:t xml:space="preserve"> </w:t>
      </w:r>
      <w:r w:rsidR="00A54CE8" w:rsidRPr="004631BF">
        <w:rPr>
          <w:color w:val="000000" w:themeColor="text1"/>
        </w:rPr>
        <w:t>Texas State</w:t>
      </w:r>
      <w:r w:rsidRPr="004631BF">
        <w:rPr>
          <w:color w:val="000000" w:themeColor="text1"/>
        </w:rPr>
        <w:t xml:space="preserve"> Nontenure Line Faculty</w:t>
      </w:r>
      <w:r w:rsidR="008962A9" w:rsidRPr="004631BF">
        <w:rPr>
          <w:color w:val="000000" w:themeColor="text1"/>
        </w:rPr>
        <w:t>, I continued my work</w:t>
      </w:r>
      <w:r w:rsidRPr="004631BF">
        <w:rPr>
          <w:color w:val="000000" w:themeColor="text1"/>
        </w:rPr>
        <w:t xml:space="preserve"> through the Nontenure Line Faculty Committee (NLFC)</w:t>
      </w:r>
      <w:r w:rsidR="008962A9" w:rsidRPr="004631BF">
        <w:rPr>
          <w:color w:val="000000" w:themeColor="text1"/>
        </w:rPr>
        <w:t xml:space="preserve"> which </w:t>
      </w:r>
      <w:r w:rsidRPr="004631BF">
        <w:rPr>
          <w:color w:val="000000" w:themeColor="text1"/>
        </w:rPr>
        <w:t>I</w:t>
      </w:r>
      <w:r w:rsidR="00E379A6" w:rsidRPr="004631BF">
        <w:rPr>
          <w:color w:val="000000" w:themeColor="text1"/>
        </w:rPr>
        <w:t>’ve</w:t>
      </w:r>
      <w:r w:rsidR="008962A9" w:rsidRPr="004631BF">
        <w:rPr>
          <w:color w:val="000000" w:themeColor="text1"/>
        </w:rPr>
        <w:t xml:space="preserve"> serve</w:t>
      </w:r>
      <w:r w:rsidR="00E379A6" w:rsidRPr="004631BF">
        <w:rPr>
          <w:color w:val="000000" w:themeColor="text1"/>
        </w:rPr>
        <w:t>d</w:t>
      </w:r>
      <w:r w:rsidR="008962A9" w:rsidRPr="004631BF">
        <w:rPr>
          <w:color w:val="000000" w:themeColor="text1"/>
        </w:rPr>
        <w:t xml:space="preserve"> </w:t>
      </w:r>
      <w:r w:rsidR="00922E41" w:rsidRPr="004631BF">
        <w:rPr>
          <w:color w:val="000000" w:themeColor="text1"/>
        </w:rPr>
        <w:t>as History’s Liaison since 2014</w:t>
      </w:r>
      <w:r w:rsidRPr="004631BF">
        <w:rPr>
          <w:color w:val="000000" w:themeColor="text1"/>
        </w:rPr>
        <w:t xml:space="preserve">. </w:t>
      </w:r>
      <w:r w:rsidR="008962A9" w:rsidRPr="004631BF">
        <w:rPr>
          <w:color w:val="000000" w:themeColor="text1"/>
        </w:rPr>
        <w:t xml:space="preserve">Last </w:t>
      </w:r>
      <w:r w:rsidRPr="004631BF">
        <w:rPr>
          <w:color w:val="000000" w:themeColor="text1"/>
        </w:rPr>
        <w:t xml:space="preserve">summer, a subcommittee </w:t>
      </w:r>
      <w:r w:rsidR="00E379A6" w:rsidRPr="004631BF">
        <w:rPr>
          <w:color w:val="000000" w:themeColor="text1"/>
        </w:rPr>
        <w:t>of myself and two others</w:t>
      </w:r>
      <w:r w:rsidRPr="004631BF">
        <w:rPr>
          <w:color w:val="000000" w:themeColor="text1"/>
        </w:rPr>
        <w:t xml:space="preserve"> craft</w:t>
      </w:r>
      <w:r w:rsidR="002F5DEC" w:rsidRPr="004631BF">
        <w:rPr>
          <w:color w:val="000000" w:themeColor="text1"/>
        </w:rPr>
        <w:t>ed</w:t>
      </w:r>
      <w:r w:rsidRPr="004631BF">
        <w:rPr>
          <w:color w:val="000000" w:themeColor="text1"/>
        </w:rPr>
        <w:t xml:space="preserve"> the NLFC’s second survey </w:t>
      </w:r>
      <w:r w:rsidR="00E379A6" w:rsidRPr="004631BF">
        <w:rPr>
          <w:color w:val="000000" w:themeColor="text1"/>
        </w:rPr>
        <w:t xml:space="preserve">(2019) </w:t>
      </w:r>
      <w:r w:rsidRPr="004631BF">
        <w:rPr>
          <w:color w:val="000000" w:themeColor="text1"/>
        </w:rPr>
        <w:t>of all Nontenure Line Faculty</w:t>
      </w:r>
      <w:r w:rsidR="002F5DEC" w:rsidRPr="004631BF">
        <w:rPr>
          <w:color w:val="000000" w:themeColor="text1"/>
        </w:rPr>
        <w:t xml:space="preserve">; </w:t>
      </w:r>
      <w:r w:rsidRPr="004631BF">
        <w:rPr>
          <w:color w:val="000000" w:themeColor="text1"/>
        </w:rPr>
        <w:t>one section of th</w:t>
      </w:r>
      <w:r w:rsidR="00A54CE8" w:rsidRPr="004631BF">
        <w:rPr>
          <w:color w:val="000000" w:themeColor="text1"/>
        </w:rPr>
        <w:t>is</w:t>
      </w:r>
      <w:r w:rsidRPr="004631BF">
        <w:rPr>
          <w:color w:val="000000" w:themeColor="text1"/>
        </w:rPr>
        <w:t xml:space="preserve"> survey was geared toward soliciting </w:t>
      </w:r>
      <w:r w:rsidR="00D52012" w:rsidRPr="004631BF">
        <w:rPr>
          <w:color w:val="000000" w:themeColor="text1"/>
        </w:rPr>
        <w:t xml:space="preserve">opinions </w:t>
      </w:r>
      <w:r w:rsidRPr="004631BF">
        <w:rPr>
          <w:color w:val="000000" w:themeColor="text1"/>
        </w:rPr>
        <w:t xml:space="preserve">about academic freedom. This survey elicited a </w:t>
      </w:r>
      <w:r w:rsidR="008962A9" w:rsidRPr="004631BF">
        <w:rPr>
          <w:color w:val="000000" w:themeColor="text1"/>
        </w:rPr>
        <w:t xml:space="preserve">relatively </w:t>
      </w:r>
      <w:r w:rsidRPr="004631BF">
        <w:rPr>
          <w:color w:val="000000" w:themeColor="text1"/>
        </w:rPr>
        <w:t xml:space="preserve">strong response, </w:t>
      </w:r>
      <w:r w:rsidR="008962A9" w:rsidRPr="004631BF">
        <w:rPr>
          <w:color w:val="000000" w:themeColor="text1"/>
        </w:rPr>
        <w:t xml:space="preserve">garnering </w:t>
      </w:r>
      <w:r w:rsidRPr="004631BF">
        <w:rPr>
          <w:color w:val="000000" w:themeColor="text1"/>
        </w:rPr>
        <w:t xml:space="preserve">a 47% participation rate. </w:t>
      </w:r>
      <w:r w:rsidR="00922E41" w:rsidRPr="004631BF">
        <w:rPr>
          <w:color w:val="000000" w:themeColor="text1"/>
        </w:rPr>
        <w:t xml:space="preserve">By far the clearest message </w:t>
      </w:r>
      <w:r w:rsidR="008962A9" w:rsidRPr="004631BF">
        <w:rPr>
          <w:color w:val="000000" w:themeColor="text1"/>
        </w:rPr>
        <w:t>was a</w:t>
      </w:r>
      <w:r w:rsidR="00922E41" w:rsidRPr="004631BF">
        <w:rPr>
          <w:color w:val="000000" w:themeColor="text1"/>
        </w:rPr>
        <w:t xml:space="preserve"> link between academic freedom and security of </w:t>
      </w:r>
      <w:r w:rsidR="00922E41" w:rsidRPr="004631BF">
        <w:rPr>
          <w:color w:val="000000" w:themeColor="text1"/>
        </w:rPr>
        <w:lastRenderedPageBreak/>
        <w:t>employee</w:t>
      </w:r>
      <w:r w:rsidR="008962A9" w:rsidRPr="004631BF">
        <w:rPr>
          <w:color w:val="000000" w:themeColor="text1"/>
        </w:rPr>
        <w:t xml:space="preserve">. The </w:t>
      </w:r>
      <w:r w:rsidR="00A54CE8" w:rsidRPr="004631BF">
        <w:rPr>
          <w:color w:val="000000" w:themeColor="text1"/>
        </w:rPr>
        <w:t>majority of</w:t>
      </w:r>
      <w:r w:rsidR="008962A9" w:rsidRPr="004631BF">
        <w:rPr>
          <w:color w:val="000000" w:themeColor="text1"/>
        </w:rPr>
        <w:t xml:space="preserve"> responding</w:t>
      </w:r>
      <w:r w:rsidR="00A54CE8" w:rsidRPr="004631BF">
        <w:rPr>
          <w:color w:val="000000" w:themeColor="text1"/>
        </w:rPr>
        <w:t xml:space="preserve"> NLF </w:t>
      </w:r>
      <w:r w:rsidR="006920DF" w:rsidRPr="004631BF">
        <w:rPr>
          <w:color w:val="000000" w:themeColor="text1"/>
        </w:rPr>
        <w:t>addressed</w:t>
      </w:r>
      <w:r w:rsidR="00A54CE8" w:rsidRPr="004631BF">
        <w:rPr>
          <w:color w:val="000000" w:themeColor="text1"/>
        </w:rPr>
        <w:t xml:space="preserve"> the connection between their freedom to explore controversial issues in the classroom and their job security. A</w:t>
      </w:r>
      <w:r w:rsidR="00922E41" w:rsidRPr="004631BF">
        <w:rPr>
          <w:color w:val="000000" w:themeColor="text1"/>
        </w:rPr>
        <w:t>s one NLF put it in a NLFC meeting this past year: “When you ask tenured faculty members about academic freedom, they cite a wide variety of concerns. When you ask NLF about academic freedom, they say ‘I don’t want to get fired for something I write or say in the classroom.</w:t>
      </w:r>
      <w:r w:rsidR="00AA785C" w:rsidRPr="004631BF">
        <w:rPr>
          <w:color w:val="000000" w:themeColor="text1"/>
        </w:rPr>
        <w:t>’</w:t>
      </w:r>
      <w:r w:rsidR="00922E41" w:rsidRPr="004631BF">
        <w:rPr>
          <w:color w:val="000000" w:themeColor="text1"/>
        </w:rPr>
        <w:t xml:space="preserve">” </w:t>
      </w:r>
    </w:p>
    <w:p w14:paraId="7ADDF2F7" w14:textId="2A7053DB" w:rsidR="00922E41" w:rsidRPr="004631BF" w:rsidRDefault="008962A9" w:rsidP="00810214">
      <w:pPr>
        <w:spacing w:before="120" w:after="120" w:line="480" w:lineRule="auto"/>
        <w:ind w:firstLine="720"/>
        <w:rPr>
          <w:color w:val="000000" w:themeColor="text1"/>
        </w:rPr>
      </w:pPr>
      <w:r w:rsidRPr="004631BF">
        <w:rPr>
          <w:color w:val="000000" w:themeColor="text1"/>
        </w:rPr>
        <w:t xml:space="preserve">We seem to have a path forward on this important issue once strains on the university’s financial situation due to COVID-19 ease. </w:t>
      </w:r>
      <w:r w:rsidR="00A54CE8" w:rsidRPr="004631BF">
        <w:rPr>
          <w:color w:val="000000" w:themeColor="text1"/>
        </w:rPr>
        <w:t xml:space="preserve">As another faculty member expressed in a Faculty Dialogue, </w:t>
      </w:r>
      <w:r w:rsidR="00922E41" w:rsidRPr="004631BF">
        <w:rPr>
          <w:color w:val="000000" w:themeColor="text1"/>
        </w:rPr>
        <w:t xml:space="preserve">“So long as the majority of faculty, both at Texas State and nationwide, serve off the tenure track and can be “non-renewed” without any reason given, academic freedom is a myth.” </w:t>
      </w:r>
      <w:r w:rsidRPr="004631BF">
        <w:rPr>
          <w:color w:val="000000" w:themeColor="text1"/>
        </w:rPr>
        <w:t>W</w:t>
      </w:r>
      <w:r w:rsidR="00922E41" w:rsidRPr="004631BF">
        <w:rPr>
          <w:color w:val="000000" w:themeColor="text1"/>
        </w:rPr>
        <w:t>ith the clear evidence from the 2019 survey that the majority of NLF wanted a clear</w:t>
      </w:r>
      <w:r w:rsidR="00A54CE8" w:rsidRPr="004631BF">
        <w:rPr>
          <w:color w:val="000000" w:themeColor="text1"/>
        </w:rPr>
        <w:t>er</w:t>
      </w:r>
      <w:r w:rsidR="00922E41" w:rsidRPr="004631BF">
        <w:rPr>
          <w:color w:val="000000" w:themeColor="text1"/>
        </w:rPr>
        <w:t xml:space="preserve"> career path, with some degree of job security, I have work</w:t>
      </w:r>
      <w:r w:rsidR="00AA785C" w:rsidRPr="004631BF">
        <w:rPr>
          <w:color w:val="000000" w:themeColor="text1"/>
        </w:rPr>
        <w:t>ed</w:t>
      </w:r>
      <w:r w:rsidR="00922E41" w:rsidRPr="004631BF">
        <w:rPr>
          <w:color w:val="000000" w:themeColor="text1"/>
        </w:rPr>
        <w:t xml:space="preserve"> within the NLFC </w:t>
      </w:r>
      <w:r w:rsidR="00A54CE8" w:rsidRPr="004631BF">
        <w:rPr>
          <w:color w:val="000000" w:themeColor="text1"/>
        </w:rPr>
        <w:t>Career Path S</w:t>
      </w:r>
      <w:r w:rsidR="00922E41" w:rsidRPr="004631BF">
        <w:rPr>
          <w:color w:val="000000" w:themeColor="text1"/>
        </w:rPr>
        <w:t xml:space="preserve">ubcommittee </w:t>
      </w:r>
      <w:r w:rsidR="00A54CE8" w:rsidRPr="004631BF">
        <w:rPr>
          <w:color w:val="000000" w:themeColor="text1"/>
        </w:rPr>
        <w:t>on</w:t>
      </w:r>
      <w:r w:rsidR="00922E41" w:rsidRPr="004631BF">
        <w:rPr>
          <w:color w:val="000000" w:themeColor="text1"/>
        </w:rPr>
        <w:t xml:space="preserve"> a proposal to </w:t>
      </w:r>
      <w:r w:rsidR="00AA785C" w:rsidRPr="004631BF">
        <w:rPr>
          <w:color w:val="000000" w:themeColor="text1"/>
        </w:rPr>
        <w:t>introduce a</w:t>
      </w:r>
      <w:r w:rsidRPr="004631BF">
        <w:rPr>
          <w:color w:val="000000" w:themeColor="text1"/>
        </w:rPr>
        <w:t xml:space="preserve">n Instructional Career Path in place of the </w:t>
      </w:r>
      <w:r w:rsidR="00A54CE8" w:rsidRPr="004631BF">
        <w:rPr>
          <w:color w:val="000000" w:themeColor="text1"/>
        </w:rPr>
        <w:t>“</w:t>
      </w:r>
      <w:r w:rsidR="00922E41" w:rsidRPr="004631BF">
        <w:rPr>
          <w:color w:val="000000" w:themeColor="text1"/>
        </w:rPr>
        <w:t>Senior Lecturer</w:t>
      </w:r>
      <w:r w:rsidR="00A54CE8" w:rsidRPr="004631BF">
        <w:rPr>
          <w:color w:val="000000" w:themeColor="text1"/>
        </w:rPr>
        <w:t>”</w:t>
      </w:r>
      <w:r w:rsidR="00922E41" w:rsidRPr="004631BF">
        <w:rPr>
          <w:color w:val="000000" w:themeColor="text1"/>
        </w:rPr>
        <w:t xml:space="preserve"> position. </w:t>
      </w:r>
      <w:r w:rsidR="00BA6F37" w:rsidRPr="004631BF">
        <w:rPr>
          <w:color w:val="000000" w:themeColor="text1"/>
        </w:rPr>
        <w:t>We</w:t>
      </w:r>
      <w:r w:rsidR="00922E41" w:rsidRPr="004631BF">
        <w:rPr>
          <w:color w:val="000000" w:themeColor="text1"/>
        </w:rPr>
        <w:t xml:space="preserve"> presented our proposal to Associate Provost Debbie Thorn</w:t>
      </w:r>
      <w:r w:rsidRPr="004631BF">
        <w:rPr>
          <w:color w:val="000000" w:themeColor="text1"/>
        </w:rPr>
        <w:t xml:space="preserve">e </w:t>
      </w:r>
      <w:r w:rsidR="00922E41" w:rsidRPr="004631BF">
        <w:rPr>
          <w:color w:val="000000" w:themeColor="text1"/>
        </w:rPr>
        <w:t>and it was favorably received</w:t>
      </w:r>
      <w:r w:rsidRPr="004631BF">
        <w:rPr>
          <w:color w:val="000000" w:themeColor="text1"/>
        </w:rPr>
        <w:t xml:space="preserve"> June 18, 2020.</w:t>
      </w:r>
    </w:p>
    <w:p w14:paraId="12F0A89C" w14:textId="77777777" w:rsidR="001D7E87" w:rsidRPr="004631BF" w:rsidRDefault="001D7E87" w:rsidP="0020093E">
      <w:pPr>
        <w:pStyle w:val="Heading2"/>
        <w:spacing w:before="120" w:after="120" w:line="480" w:lineRule="auto"/>
        <w:rPr>
          <w:color w:val="000000" w:themeColor="text1"/>
        </w:rPr>
      </w:pPr>
    </w:p>
    <w:p w14:paraId="568FA39F" w14:textId="5C826F32" w:rsidR="005F7DBC" w:rsidRPr="004631BF" w:rsidRDefault="00AE2B16" w:rsidP="0020093E">
      <w:pPr>
        <w:pStyle w:val="Heading2"/>
        <w:spacing w:before="120" w:after="120" w:line="480" w:lineRule="auto"/>
        <w:rPr>
          <w:color w:val="000000" w:themeColor="text1"/>
        </w:rPr>
      </w:pPr>
      <w:r w:rsidRPr="004631BF">
        <w:rPr>
          <w:color w:val="000000" w:themeColor="text1"/>
        </w:rPr>
        <w:t>Academic Freedom Dialogues</w:t>
      </w:r>
    </w:p>
    <w:p w14:paraId="61F18C17" w14:textId="220BE115" w:rsidR="004B2318" w:rsidRPr="004631BF" w:rsidRDefault="004B2318" w:rsidP="0020093E">
      <w:pPr>
        <w:spacing w:before="120" w:after="120" w:line="480" w:lineRule="auto"/>
        <w:rPr>
          <w:color w:val="000000" w:themeColor="text1"/>
        </w:rPr>
      </w:pPr>
      <w:r w:rsidRPr="004631BF">
        <w:rPr>
          <w:color w:val="000000" w:themeColor="text1"/>
        </w:rPr>
        <w:tab/>
      </w:r>
      <w:r w:rsidR="002F5DEC" w:rsidRPr="004631BF">
        <w:rPr>
          <w:color w:val="000000" w:themeColor="text1"/>
        </w:rPr>
        <w:t xml:space="preserve">In order to better understand the specific </w:t>
      </w:r>
      <w:r w:rsidR="00D52012" w:rsidRPr="004631BF">
        <w:rPr>
          <w:color w:val="000000" w:themeColor="text1"/>
        </w:rPr>
        <w:t>positions among</w:t>
      </w:r>
      <w:r w:rsidR="002F5DEC" w:rsidRPr="004631BF">
        <w:rPr>
          <w:color w:val="000000" w:themeColor="text1"/>
        </w:rPr>
        <w:t xml:space="preserve"> Texas State faculty on academic freedom issues, I hosted a series of dialogues for faculty, staff</w:t>
      </w:r>
      <w:r w:rsidR="009434C7" w:rsidRPr="004631BF">
        <w:rPr>
          <w:color w:val="000000" w:themeColor="text1"/>
        </w:rPr>
        <w:t xml:space="preserve">, </w:t>
      </w:r>
      <w:r w:rsidR="002F5DEC" w:rsidRPr="004631BF">
        <w:rPr>
          <w:color w:val="000000" w:themeColor="text1"/>
        </w:rPr>
        <w:t xml:space="preserve">and students. </w:t>
      </w:r>
      <w:r w:rsidR="009434C7" w:rsidRPr="004631BF">
        <w:rPr>
          <w:color w:val="000000" w:themeColor="text1"/>
        </w:rPr>
        <w:t>I hosted a</w:t>
      </w:r>
      <w:r w:rsidR="002F5DEC" w:rsidRPr="004631BF">
        <w:rPr>
          <w:color w:val="000000" w:themeColor="text1"/>
        </w:rPr>
        <w:t xml:space="preserve"> question-and-answer session to the Nontenure Line Faculty Committee</w:t>
      </w:r>
      <w:r w:rsidR="00FB47FA" w:rsidRPr="004631BF">
        <w:rPr>
          <w:color w:val="000000" w:themeColor="text1"/>
        </w:rPr>
        <w:t xml:space="preserve"> on</w:t>
      </w:r>
      <w:r w:rsidR="002F5DEC" w:rsidRPr="004631BF">
        <w:rPr>
          <w:color w:val="000000" w:themeColor="text1"/>
        </w:rPr>
        <w:t xml:space="preserve"> Sept. 13, 2019</w:t>
      </w:r>
      <w:r w:rsidR="00BA6F37" w:rsidRPr="004631BF">
        <w:rPr>
          <w:color w:val="000000" w:themeColor="text1"/>
        </w:rPr>
        <w:t>, and</w:t>
      </w:r>
      <w:r w:rsidR="002F5DEC" w:rsidRPr="004631BF">
        <w:rPr>
          <w:color w:val="000000" w:themeColor="text1"/>
        </w:rPr>
        <w:t xml:space="preserve"> two all-university dialogues: </w:t>
      </w:r>
      <w:r w:rsidRPr="004631BF">
        <w:rPr>
          <w:color w:val="000000" w:themeColor="text1"/>
        </w:rPr>
        <w:t>“The Big Chill: Does Academic Status Affect Academic Freedom?” (October 24, 2019), on the San Marcos campus, and “What Academic Freedom Issues Concern You as a Round Rock Faculty Member?” (November 13, 2019), on the Round Rock campus</w:t>
      </w:r>
      <w:r w:rsidR="009434C7" w:rsidRPr="004631BF">
        <w:rPr>
          <w:color w:val="000000" w:themeColor="text1"/>
        </w:rPr>
        <w:t xml:space="preserve">. Due to both, </w:t>
      </w:r>
      <w:r w:rsidRPr="004631BF">
        <w:rPr>
          <w:color w:val="000000" w:themeColor="text1"/>
        </w:rPr>
        <w:t>faculty and staff reach</w:t>
      </w:r>
      <w:r w:rsidR="009434C7" w:rsidRPr="004631BF">
        <w:rPr>
          <w:color w:val="000000" w:themeColor="text1"/>
        </w:rPr>
        <w:t>ed</w:t>
      </w:r>
      <w:r w:rsidRPr="004631BF">
        <w:rPr>
          <w:color w:val="000000" w:themeColor="text1"/>
        </w:rPr>
        <w:t xml:space="preserve"> out to me </w:t>
      </w:r>
      <w:r w:rsidR="00FB47FA" w:rsidRPr="004631BF">
        <w:rPr>
          <w:color w:val="000000" w:themeColor="text1"/>
        </w:rPr>
        <w:t>throughout the year</w:t>
      </w:r>
      <w:r w:rsidRPr="004631BF">
        <w:rPr>
          <w:color w:val="000000" w:themeColor="text1"/>
        </w:rPr>
        <w:t xml:space="preserve">. </w:t>
      </w:r>
      <w:r w:rsidR="009434C7" w:rsidRPr="004631BF">
        <w:rPr>
          <w:color w:val="000000" w:themeColor="text1"/>
        </w:rPr>
        <w:t xml:space="preserve">Based on such feedback, with Alkek </w:t>
      </w:r>
      <w:r w:rsidR="009434C7" w:rsidRPr="004631BF">
        <w:rPr>
          <w:color w:val="000000" w:themeColor="text1"/>
        </w:rPr>
        <w:lastRenderedPageBreak/>
        <w:t>Research Librarians Margaret Vaverek and Stephanie Towery, I assembled an online toolkit with academic freedom resources for the faculty</w:t>
      </w:r>
      <w:r w:rsidR="00BA6F37" w:rsidRPr="004631BF">
        <w:rPr>
          <w:color w:val="000000" w:themeColor="text1"/>
        </w:rPr>
        <w:t>,</w:t>
      </w:r>
      <w:r w:rsidR="009434C7" w:rsidRPr="004631BF">
        <w:rPr>
          <w:color w:val="000000" w:themeColor="text1"/>
        </w:rPr>
        <w:t xml:space="preserve"> available through Alkek’s website.</w:t>
      </w:r>
      <w:r w:rsidR="009434C7" w:rsidRPr="004631BF">
        <w:rPr>
          <w:rStyle w:val="FootnoteReference"/>
          <w:color w:val="000000" w:themeColor="text1"/>
        </w:rPr>
        <w:footnoteReference w:id="2"/>
      </w:r>
    </w:p>
    <w:p w14:paraId="2BBE015C" w14:textId="77777777" w:rsidR="00BA6F37" w:rsidRPr="004631BF" w:rsidRDefault="00BA6F37" w:rsidP="0020093E">
      <w:pPr>
        <w:spacing w:before="120" w:after="120" w:line="480" w:lineRule="auto"/>
        <w:rPr>
          <w:color w:val="000000" w:themeColor="text1"/>
        </w:rPr>
      </w:pPr>
    </w:p>
    <w:p w14:paraId="578B7305" w14:textId="3CC6A53E" w:rsidR="009355AA" w:rsidRPr="004631BF" w:rsidRDefault="009355AA" w:rsidP="0020093E">
      <w:pPr>
        <w:spacing w:before="120" w:after="120" w:line="480" w:lineRule="auto"/>
        <w:rPr>
          <w:smallCaps/>
          <w:color w:val="000000" w:themeColor="text1"/>
        </w:rPr>
      </w:pPr>
      <w:r w:rsidRPr="004631BF">
        <w:rPr>
          <w:smallCaps/>
          <w:color w:val="000000" w:themeColor="text1"/>
        </w:rPr>
        <w:t>Findings from My Outreach Efforts</w:t>
      </w:r>
    </w:p>
    <w:p w14:paraId="1A2842FD" w14:textId="5012C13B" w:rsidR="009434C7" w:rsidRPr="004631BF" w:rsidRDefault="00E834B1" w:rsidP="0020093E">
      <w:pPr>
        <w:spacing w:before="120" w:after="120" w:line="480" w:lineRule="auto"/>
        <w:rPr>
          <w:color w:val="000000" w:themeColor="text1"/>
        </w:rPr>
      </w:pPr>
      <w:r w:rsidRPr="004631BF">
        <w:rPr>
          <w:color w:val="000000" w:themeColor="text1"/>
        </w:rPr>
        <w:tab/>
      </w:r>
      <w:r w:rsidR="009355AA" w:rsidRPr="004631BF">
        <w:rPr>
          <w:color w:val="000000" w:themeColor="text1"/>
        </w:rPr>
        <w:t>Through the dialogues</w:t>
      </w:r>
      <w:r w:rsidR="00BA6F37" w:rsidRPr="004631BF">
        <w:rPr>
          <w:color w:val="000000" w:themeColor="text1"/>
        </w:rPr>
        <w:t xml:space="preserve">, </w:t>
      </w:r>
      <w:r w:rsidR="009355AA" w:rsidRPr="004631BF">
        <w:rPr>
          <w:color w:val="000000" w:themeColor="text1"/>
        </w:rPr>
        <w:t xml:space="preserve">discussions in the NLFC and AFC meetings, </w:t>
      </w:r>
      <w:r w:rsidR="00BA6F37" w:rsidRPr="004631BF">
        <w:rPr>
          <w:color w:val="000000" w:themeColor="text1"/>
        </w:rPr>
        <w:t xml:space="preserve">and in private communications, </w:t>
      </w:r>
      <w:r w:rsidR="009355AA" w:rsidRPr="004631BF">
        <w:rPr>
          <w:color w:val="000000" w:themeColor="text1"/>
        </w:rPr>
        <w:t>certain</w:t>
      </w:r>
      <w:r w:rsidR="006920DF" w:rsidRPr="004631BF">
        <w:rPr>
          <w:color w:val="000000" w:themeColor="text1"/>
        </w:rPr>
        <w:t xml:space="preserve"> points returned</w:t>
      </w:r>
      <w:r w:rsidR="009355AA" w:rsidRPr="004631BF">
        <w:rPr>
          <w:color w:val="000000" w:themeColor="text1"/>
        </w:rPr>
        <w:t xml:space="preserve">. Faculty </w:t>
      </w:r>
      <w:r w:rsidR="00D52012" w:rsidRPr="004631BF">
        <w:rPr>
          <w:color w:val="000000" w:themeColor="text1"/>
        </w:rPr>
        <w:t xml:space="preserve">express dismay </w:t>
      </w:r>
      <w:r w:rsidR="009355AA" w:rsidRPr="004631BF">
        <w:rPr>
          <w:color w:val="000000" w:themeColor="text1"/>
        </w:rPr>
        <w:t>about the rise of “gotcha” media, particularly right</w:t>
      </w:r>
      <w:r w:rsidR="00FB47FA" w:rsidRPr="004631BF">
        <w:rPr>
          <w:color w:val="000000" w:themeColor="text1"/>
        </w:rPr>
        <w:t>-</w:t>
      </w:r>
      <w:r w:rsidR="009355AA" w:rsidRPr="004631BF">
        <w:rPr>
          <w:color w:val="000000" w:themeColor="text1"/>
        </w:rPr>
        <w:t xml:space="preserve">wing media sites like </w:t>
      </w:r>
      <w:r w:rsidR="009355AA" w:rsidRPr="004631BF">
        <w:rPr>
          <w:i/>
          <w:iCs/>
          <w:color w:val="000000" w:themeColor="text1"/>
        </w:rPr>
        <w:t>Professor Watchlist</w:t>
      </w:r>
      <w:r w:rsidR="009355AA" w:rsidRPr="004631BF">
        <w:rPr>
          <w:color w:val="000000" w:themeColor="text1"/>
        </w:rPr>
        <w:t xml:space="preserve">, </w:t>
      </w:r>
      <w:r w:rsidR="009355AA" w:rsidRPr="004631BF">
        <w:rPr>
          <w:i/>
          <w:iCs/>
          <w:color w:val="000000" w:themeColor="text1"/>
        </w:rPr>
        <w:t>Campus Reform</w:t>
      </w:r>
      <w:r w:rsidR="009434C7" w:rsidRPr="004631BF">
        <w:rPr>
          <w:i/>
          <w:iCs/>
          <w:color w:val="000000" w:themeColor="text1"/>
        </w:rPr>
        <w:t>,</w:t>
      </w:r>
      <w:r w:rsidR="009355AA" w:rsidRPr="004631BF">
        <w:rPr>
          <w:color w:val="000000" w:themeColor="text1"/>
        </w:rPr>
        <w:t xml:space="preserve"> and </w:t>
      </w:r>
      <w:r w:rsidR="009355AA" w:rsidRPr="004631BF">
        <w:rPr>
          <w:i/>
          <w:iCs/>
          <w:color w:val="000000" w:themeColor="text1"/>
        </w:rPr>
        <w:t>College Fix</w:t>
      </w:r>
      <w:r w:rsidR="009355AA" w:rsidRPr="004631BF">
        <w:rPr>
          <w:color w:val="000000" w:themeColor="text1"/>
        </w:rPr>
        <w:t xml:space="preserve">, </w:t>
      </w:r>
      <w:r w:rsidR="00BA6F37" w:rsidRPr="004631BF">
        <w:rPr>
          <w:color w:val="000000" w:themeColor="text1"/>
        </w:rPr>
        <w:t xml:space="preserve">which </w:t>
      </w:r>
      <w:r w:rsidR="009355AA" w:rsidRPr="004631BF">
        <w:rPr>
          <w:color w:val="000000" w:themeColor="text1"/>
        </w:rPr>
        <w:t>solicit secret student taping of class discussions and lectures to “prove” radical faculty indoctrination</w:t>
      </w:r>
      <w:r w:rsidRPr="004631BF">
        <w:rPr>
          <w:color w:val="000000" w:themeColor="text1"/>
        </w:rPr>
        <w:t xml:space="preserve">. </w:t>
      </w:r>
      <w:r w:rsidR="00FB47FA" w:rsidRPr="004631BF">
        <w:rPr>
          <w:color w:val="000000" w:themeColor="text1"/>
        </w:rPr>
        <w:t>Faculty</w:t>
      </w:r>
      <w:r w:rsidR="009355AA" w:rsidRPr="004631BF">
        <w:rPr>
          <w:color w:val="000000" w:themeColor="text1"/>
        </w:rPr>
        <w:t xml:space="preserve"> report feeling that there is a growing list of topics which can be dangerous to discuss in class, including </w:t>
      </w:r>
      <w:r w:rsidR="009434C7" w:rsidRPr="004631BF">
        <w:rPr>
          <w:color w:val="000000" w:themeColor="text1"/>
        </w:rPr>
        <w:t>abortion, climate change, evolution, gay rights, gender identity, racism, slavery, the 2016 election, and vaccinations. While s</w:t>
      </w:r>
      <w:r w:rsidR="009355AA" w:rsidRPr="004631BF">
        <w:rPr>
          <w:color w:val="000000" w:themeColor="text1"/>
        </w:rPr>
        <w:t>ome faculty worr</w:t>
      </w:r>
      <w:r w:rsidR="00FB47FA" w:rsidRPr="004631BF">
        <w:rPr>
          <w:color w:val="000000" w:themeColor="text1"/>
        </w:rPr>
        <w:t>y</w:t>
      </w:r>
      <w:r w:rsidR="009355AA" w:rsidRPr="004631BF">
        <w:rPr>
          <w:color w:val="000000" w:themeColor="text1"/>
        </w:rPr>
        <w:t xml:space="preserve"> </w:t>
      </w:r>
      <w:r w:rsidR="00FB47FA" w:rsidRPr="004631BF">
        <w:rPr>
          <w:color w:val="000000" w:themeColor="text1"/>
        </w:rPr>
        <w:t xml:space="preserve">about </w:t>
      </w:r>
      <w:r w:rsidRPr="004631BF">
        <w:rPr>
          <w:color w:val="000000" w:themeColor="text1"/>
        </w:rPr>
        <w:t>controversies putting their jobs in jeopardy</w:t>
      </w:r>
      <w:r w:rsidR="009434C7" w:rsidRPr="004631BF">
        <w:rPr>
          <w:color w:val="000000" w:themeColor="text1"/>
        </w:rPr>
        <w:t xml:space="preserve">, other faculty expressed </w:t>
      </w:r>
      <w:r w:rsidR="00D52012" w:rsidRPr="004631BF">
        <w:rPr>
          <w:color w:val="000000" w:themeColor="text1"/>
        </w:rPr>
        <w:t>fear</w:t>
      </w:r>
      <w:r w:rsidR="009434C7" w:rsidRPr="004631BF">
        <w:rPr>
          <w:color w:val="000000" w:themeColor="text1"/>
        </w:rPr>
        <w:t xml:space="preserve"> </w:t>
      </w:r>
      <w:r w:rsidR="00FB47FA" w:rsidRPr="004631BF">
        <w:rPr>
          <w:color w:val="000000" w:themeColor="text1"/>
        </w:rPr>
        <w:t xml:space="preserve">they could fall victim to </w:t>
      </w:r>
      <w:r w:rsidRPr="004631BF">
        <w:rPr>
          <w:color w:val="000000" w:themeColor="text1"/>
        </w:rPr>
        <w:t>cyber-stalking</w:t>
      </w:r>
      <w:r w:rsidR="00FB47FA" w:rsidRPr="004631BF">
        <w:rPr>
          <w:color w:val="000000" w:themeColor="text1"/>
        </w:rPr>
        <w:t xml:space="preserve"> </w:t>
      </w:r>
      <w:r w:rsidR="001D7E87" w:rsidRPr="004631BF">
        <w:rPr>
          <w:color w:val="000000" w:themeColor="text1"/>
        </w:rPr>
        <w:t xml:space="preserve">and </w:t>
      </w:r>
      <w:r w:rsidRPr="004631BF">
        <w:rPr>
          <w:color w:val="000000" w:themeColor="text1"/>
        </w:rPr>
        <w:t xml:space="preserve">even physical violence. </w:t>
      </w:r>
    </w:p>
    <w:p w14:paraId="0DEA262D" w14:textId="7A8BD636" w:rsidR="003A2A2B" w:rsidRPr="004631BF" w:rsidRDefault="009370D5" w:rsidP="00810214">
      <w:pPr>
        <w:spacing w:before="120" w:after="120" w:line="480" w:lineRule="auto"/>
        <w:ind w:firstLine="720"/>
        <w:rPr>
          <w:color w:val="000000" w:themeColor="text1"/>
        </w:rPr>
      </w:pPr>
      <w:r w:rsidRPr="004631BF">
        <w:rPr>
          <w:color w:val="000000" w:themeColor="text1"/>
        </w:rPr>
        <w:t xml:space="preserve">Faculty have also expressed </w:t>
      </w:r>
      <w:r w:rsidR="009434C7" w:rsidRPr="004631BF">
        <w:rPr>
          <w:color w:val="000000" w:themeColor="text1"/>
        </w:rPr>
        <w:t xml:space="preserve">anxiety </w:t>
      </w:r>
      <w:r w:rsidRPr="004631BF">
        <w:rPr>
          <w:color w:val="000000" w:themeColor="text1"/>
        </w:rPr>
        <w:t xml:space="preserve">on issues related to copyright and patent issues; </w:t>
      </w:r>
      <w:r w:rsidR="009434C7" w:rsidRPr="004631BF">
        <w:rPr>
          <w:color w:val="000000" w:themeColor="text1"/>
        </w:rPr>
        <w:t>freedom to select</w:t>
      </w:r>
      <w:r w:rsidRPr="004631BF">
        <w:rPr>
          <w:color w:val="000000" w:themeColor="text1"/>
        </w:rPr>
        <w:t xml:space="preserve"> teaching materials, course design and construction of class syllabi, and chair and dean interference with research agendas. </w:t>
      </w:r>
      <w:r w:rsidR="009434C7" w:rsidRPr="004631BF">
        <w:rPr>
          <w:color w:val="000000" w:themeColor="text1"/>
        </w:rPr>
        <w:t xml:space="preserve">When </w:t>
      </w:r>
      <w:r w:rsidR="003A2A2B" w:rsidRPr="004631BF">
        <w:rPr>
          <w:color w:val="000000" w:themeColor="text1"/>
        </w:rPr>
        <w:t>students attended the dialogues</w:t>
      </w:r>
      <w:r w:rsidR="009434C7" w:rsidRPr="004631BF">
        <w:rPr>
          <w:color w:val="000000" w:themeColor="text1"/>
        </w:rPr>
        <w:t xml:space="preserve">, </w:t>
      </w:r>
      <w:r w:rsidR="003A2A2B" w:rsidRPr="004631BF">
        <w:rPr>
          <w:color w:val="000000" w:themeColor="text1"/>
        </w:rPr>
        <w:t xml:space="preserve"> I discovered that some religiously conservative students also felt </w:t>
      </w:r>
      <w:r w:rsidR="00E834B1" w:rsidRPr="004631BF">
        <w:rPr>
          <w:color w:val="000000" w:themeColor="text1"/>
        </w:rPr>
        <w:t>stymie</w:t>
      </w:r>
      <w:r w:rsidR="001D7E87" w:rsidRPr="004631BF">
        <w:rPr>
          <w:color w:val="000000" w:themeColor="text1"/>
        </w:rPr>
        <w:t>d</w:t>
      </w:r>
      <w:r w:rsidR="003A2A2B" w:rsidRPr="004631BF">
        <w:rPr>
          <w:color w:val="000000" w:themeColor="text1"/>
        </w:rPr>
        <w:t xml:space="preserve"> in the classroom and were unsure what their own academic freedom rights were, particularly when they conflicted with </w:t>
      </w:r>
      <w:r w:rsidR="009434C7" w:rsidRPr="004631BF">
        <w:rPr>
          <w:color w:val="000000" w:themeColor="text1"/>
        </w:rPr>
        <w:t xml:space="preserve">what they perceived as </w:t>
      </w:r>
      <w:r w:rsidR="003A2A2B" w:rsidRPr="004631BF">
        <w:rPr>
          <w:color w:val="000000" w:themeColor="text1"/>
        </w:rPr>
        <w:t xml:space="preserve">more progressive positions taken by faculty </w:t>
      </w:r>
      <w:r w:rsidR="009434C7" w:rsidRPr="004631BF">
        <w:rPr>
          <w:color w:val="000000" w:themeColor="text1"/>
        </w:rPr>
        <w:t>regarding</w:t>
      </w:r>
      <w:r w:rsidR="003A2A2B" w:rsidRPr="004631BF">
        <w:rPr>
          <w:color w:val="000000" w:themeColor="text1"/>
        </w:rPr>
        <w:t xml:space="preserve"> issues such as LBGTQ, or scientific findings with which their </w:t>
      </w:r>
      <w:r w:rsidR="009434C7" w:rsidRPr="004631BF">
        <w:rPr>
          <w:color w:val="000000" w:themeColor="text1"/>
        </w:rPr>
        <w:t xml:space="preserve">faith traditions </w:t>
      </w:r>
      <w:r w:rsidR="003A2A2B" w:rsidRPr="004631BF">
        <w:rPr>
          <w:color w:val="000000" w:themeColor="text1"/>
        </w:rPr>
        <w:t xml:space="preserve">disagreed. </w:t>
      </w:r>
    </w:p>
    <w:p w14:paraId="57A53051" w14:textId="77777777" w:rsidR="001D7E87" w:rsidRPr="004631BF" w:rsidRDefault="001D7E87" w:rsidP="0020093E">
      <w:pPr>
        <w:spacing w:before="120" w:after="120" w:line="480" w:lineRule="auto"/>
        <w:rPr>
          <w:color w:val="000000" w:themeColor="text1"/>
        </w:rPr>
      </w:pPr>
    </w:p>
    <w:p w14:paraId="4C1AC1AC" w14:textId="25EE0313" w:rsidR="00E834B1" w:rsidRPr="004631BF" w:rsidRDefault="00E834B1" w:rsidP="0020093E">
      <w:pPr>
        <w:spacing w:before="120" w:after="120" w:line="480" w:lineRule="auto"/>
        <w:rPr>
          <w:smallCaps/>
          <w:color w:val="000000" w:themeColor="text1"/>
        </w:rPr>
      </w:pPr>
      <w:r w:rsidRPr="004631BF">
        <w:rPr>
          <w:smallCaps/>
          <w:color w:val="000000" w:themeColor="text1"/>
        </w:rPr>
        <w:t>Covid-19</w:t>
      </w:r>
    </w:p>
    <w:p w14:paraId="0A5E951F" w14:textId="77777777" w:rsidR="00BA6F37" w:rsidRPr="004631BF" w:rsidRDefault="00B873E3" w:rsidP="00BA6F37">
      <w:pPr>
        <w:spacing w:before="120" w:after="120" w:line="480" w:lineRule="auto"/>
        <w:rPr>
          <w:color w:val="000000" w:themeColor="text1"/>
        </w:rPr>
      </w:pPr>
      <w:r w:rsidRPr="004631BF">
        <w:rPr>
          <w:color w:val="000000" w:themeColor="text1"/>
        </w:rPr>
        <w:tab/>
      </w:r>
      <w:r w:rsidR="00E834B1" w:rsidRPr="004631BF">
        <w:rPr>
          <w:color w:val="000000" w:themeColor="text1"/>
        </w:rPr>
        <w:t xml:space="preserve">Since March 2020, </w:t>
      </w:r>
      <w:r w:rsidR="00D52012" w:rsidRPr="004631BF">
        <w:rPr>
          <w:color w:val="000000" w:themeColor="text1"/>
        </w:rPr>
        <w:t xml:space="preserve">faculty </w:t>
      </w:r>
      <w:r w:rsidR="00BA6F37" w:rsidRPr="004631BF">
        <w:rPr>
          <w:color w:val="000000" w:themeColor="text1"/>
        </w:rPr>
        <w:t xml:space="preserve">also have </w:t>
      </w:r>
      <w:r w:rsidR="00D52012" w:rsidRPr="004631BF">
        <w:rPr>
          <w:color w:val="000000" w:themeColor="text1"/>
        </w:rPr>
        <w:t>express</w:t>
      </w:r>
      <w:r w:rsidR="00BA6F37" w:rsidRPr="004631BF">
        <w:rPr>
          <w:color w:val="000000" w:themeColor="text1"/>
        </w:rPr>
        <w:t>ed</w:t>
      </w:r>
      <w:r w:rsidR="00D52012" w:rsidRPr="004631BF">
        <w:rPr>
          <w:color w:val="000000" w:themeColor="text1"/>
        </w:rPr>
        <w:t xml:space="preserve"> increasing anxiety</w:t>
      </w:r>
      <w:r w:rsidR="00E834B1" w:rsidRPr="004631BF">
        <w:rPr>
          <w:color w:val="000000" w:themeColor="text1"/>
        </w:rPr>
        <w:t xml:space="preserve"> over</w:t>
      </w:r>
      <w:r w:rsidR="00D52012" w:rsidRPr="004631BF">
        <w:rPr>
          <w:color w:val="000000" w:themeColor="text1"/>
        </w:rPr>
        <w:t xml:space="preserve"> the quality</w:t>
      </w:r>
      <w:r w:rsidR="00E834B1" w:rsidRPr="004631BF">
        <w:rPr>
          <w:color w:val="000000" w:themeColor="text1"/>
        </w:rPr>
        <w:t xml:space="preserve"> </w:t>
      </w:r>
      <w:r w:rsidR="00BA6F37" w:rsidRPr="004631BF">
        <w:rPr>
          <w:color w:val="000000" w:themeColor="text1"/>
        </w:rPr>
        <w:t xml:space="preserve">of </w:t>
      </w:r>
      <w:r w:rsidRPr="004631BF">
        <w:rPr>
          <w:color w:val="000000" w:themeColor="text1"/>
        </w:rPr>
        <w:t>s</w:t>
      </w:r>
      <w:r w:rsidR="00E834B1" w:rsidRPr="004631BF">
        <w:rPr>
          <w:color w:val="000000" w:themeColor="text1"/>
        </w:rPr>
        <w:t xml:space="preserve">hared </w:t>
      </w:r>
      <w:r w:rsidRPr="004631BF">
        <w:rPr>
          <w:color w:val="000000" w:themeColor="text1"/>
        </w:rPr>
        <w:t>g</w:t>
      </w:r>
      <w:r w:rsidR="00E834B1" w:rsidRPr="004631BF">
        <w:rPr>
          <w:color w:val="000000" w:themeColor="text1"/>
        </w:rPr>
        <w:t xml:space="preserve">overnance at Texas State, </w:t>
      </w:r>
      <w:r w:rsidR="00BA6F37" w:rsidRPr="004631BF">
        <w:rPr>
          <w:color w:val="000000" w:themeColor="text1"/>
        </w:rPr>
        <w:t>the</w:t>
      </w:r>
      <w:r w:rsidR="00E834B1" w:rsidRPr="004631BF">
        <w:rPr>
          <w:color w:val="000000" w:themeColor="text1"/>
        </w:rPr>
        <w:t xml:space="preserve"> lack of transparency </w:t>
      </w:r>
      <w:r w:rsidR="00D52012" w:rsidRPr="004631BF">
        <w:rPr>
          <w:color w:val="000000" w:themeColor="text1"/>
        </w:rPr>
        <w:t>as health policies were formed</w:t>
      </w:r>
      <w:r w:rsidR="009434C7" w:rsidRPr="004631BF">
        <w:rPr>
          <w:color w:val="000000" w:themeColor="text1"/>
        </w:rPr>
        <w:t xml:space="preserve"> during the COVID-19 pandemic</w:t>
      </w:r>
      <w:r w:rsidR="00E834B1" w:rsidRPr="004631BF">
        <w:rPr>
          <w:color w:val="000000" w:themeColor="text1"/>
        </w:rPr>
        <w:t>, as well as issues related to online teaching</w:t>
      </w:r>
      <w:r w:rsidR="00BA6F37" w:rsidRPr="004631BF">
        <w:rPr>
          <w:color w:val="000000" w:themeColor="text1"/>
        </w:rPr>
        <w:t xml:space="preserve"> during this crisis</w:t>
      </w:r>
      <w:r w:rsidR="00E834B1" w:rsidRPr="004631BF">
        <w:rPr>
          <w:color w:val="000000" w:themeColor="text1"/>
        </w:rPr>
        <w:t xml:space="preserve">. </w:t>
      </w:r>
      <w:r w:rsidR="009434C7" w:rsidRPr="004631BF">
        <w:rPr>
          <w:color w:val="000000" w:themeColor="text1"/>
        </w:rPr>
        <w:t xml:space="preserve">Faculty </w:t>
      </w:r>
      <w:r w:rsidRPr="004631BF">
        <w:rPr>
          <w:color w:val="000000" w:themeColor="text1"/>
        </w:rPr>
        <w:t xml:space="preserve">want reassurance </w:t>
      </w:r>
      <w:r w:rsidR="009434C7" w:rsidRPr="004631BF">
        <w:rPr>
          <w:color w:val="000000" w:themeColor="text1"/>
        </w:rPr>
        <w:t>that they</w:t>
      </w:r>
      <w:r w:rsidRPr="004631BF">
        <w:rPr>
          <w:color w:val="000000" w:themeColor="text1"/>
        </w:rPr>
        <w:t xml:space="preserve"> control and </w:t>
      </w:r>
      <w:r w:rsidR="009434C7" w:rsidRPr="004631BF">
        <w:rPr>
          <w:color w:val="000000" w:themeColor="text1"/>
        </w:rPr>
        <w:t>own</w:t>
      </w:r>
      <w:r w:rsidRPr="004631BF">
        <w:rPr>
          <w:color w:val="000000" w:themeColor="text1"/>
        </w:rPr>
        <w:t xml:space="preserve"> classroom materials posted to such university-owned platforms as Mediaflo, and the limits of campus “licensing” rights: put bluntly as one NLF put it to me: “Can the university non-renew my contract and then just go on using my recorded notes and PowerPoints?”</w:t>
      </w:r>
      <w:r w:rsidR="00BA6F37" w:rsidRPr="004631BF">
        <w:rPr>
          <w:color w:val="000000" w:themeColor="text1"/>
        </w:rPr>
        <w:t xml:space="preserve">  </w:t>
      </w:r>
    </w:p>
    <w:p w14:paraId="42050821" w14:textId="698B8FC4" w:rsidR="00E834B1" w:rsidRPr="004631BF" w:rsidRDefault="00BA6F37" w:rsidP="00BA6F37">
      <w:pPr>
        <w:spacing w:before="120" w:after="120" w:line="480" w:lineRule="auto"/>
        <w:rPr>
          <w:color w:val="000000" w:themeColor="text1"/>
        </w:rPr>
      </w:pPr>
      <w:r w:rsidRPr="004631BF">
        <w:rPr>
          <w:color w:val="000000" w:themeColor="text1"/>
        </w:rPr>
        <w:tab/>
      </w:r>
      <w:r w:rsidR="00E834B1" w:rsidRPr="004631BF">
        <w:rPr>
          <w:color w:val="000000" w:themeColor="text1"/>
        </w:rPr>
        <w:t>As instructors make the bulk of their materials, including notes, PowerPoints, and taped class discussions available</w:t>
      </w:r>
      <w:r w:rsidRPr="004631BF">
        <w:rPr>
          <w:color w:val="000000" w:themeColor="text1"/>
        </w:rPr>
        <w:t xml:space="preserve"> online—for the convenience of students who are quarantining or attending remotely due to health concerns—</w:t>
      </w:r>
      <w:r w:rsidR="00E834B1" w:rsidRPr="004631BF">
        <w:rPr>
          <w:color w:val="000000" w:themeColor="text1"/>
        </w:rPr>
        <w:t xml:space="preserve">some faculty are </w:t>
      </w:r>
      <w:r w:rsidRPr="004631BF">
        <w:rPr>
          <w:color w:val="000000" w:themeColor="text1"/>
        </w:rPr>
        <w:t xml:space="preserve">also </w:t>
      </w:r>
      <w:r w:rsidR="00E834B1" w:rsidRPr="004631BF">
        <w:rPr>
          <w:color w:val="000000" w:themeColor="text1"/>
        </w:rPr>
        <w:t xml:space="preserve">worried that these materials will be leaked to opportunistic media looking to “expose” professors with ideological leanings that they and their readers dislike—particularly since several of these media sites have explicitly solicited such materials. Such misgivings </w:t>
      </w:r>
      <w:r w:rsidR="00171057" w:rsidRPr="004631BF">
        <w:rPr>
          <w:color w:val="000000" w:themeColor="text1"/>
        </w:rPr>
        <w:t>cannot be dismissed easily</w:t>
      </w:r>
      <w:r w:rsidR="00E834B1" w:rsidRPr="004631BF">
        <w:rPr>
          <w:color w:val="000000" w:themeColor="text1"/>
        </w:rPr>
        <w:t xml:space="preserve">, as outlets as </w:t>
      </w:r>
      <w:r w:rsidR="00E834B1" w:rsidRPr="004631BF">
        <w:rPr>
          <w:i/>
          <w:iCs/>
          <w:color w:val="000000" w:themeColor="text1"/>
        </w:rPr>
        <w:t>Campus Watch</w:t>
      </w:r>
      <w:r w:rsidR="00E834B1" w:rsidRPr="004631BF">
        <w:rPr>
          <w:color w:val="000000" w:themeColor="text1"/>
        </w:rPr>
        <w:t xml:space="preserve"> and </w:t>
      </w:r>
      <w:r w:rsidR="00E834B1" w:rsidRPr="004631BF">
        <w:rPr>
          <w:i/>
          <w:iCs/>
          <w:color w:val="000000" w:themeColor="text1"/>
        </w:rPr>
        <w:t>Turning Point</w:t>
      </w:r>
      <w:r w:rsidR="00E834B1" w:rsidRPr="004631BF">
        <w:rPr>
          <w:color w:val="000000" w:themeColor="text1"/>
        </w:rPr>
        <w:t xml:space="preserve"> have already shown significant success in disrupting </w:t>
      </w:r>
      <w:r w:rsidR="009434C7" w:rsidRPr="004631BF">
        <w:rPr>
          <w:color w:val="000000" w:themeColor="text1"/>
        </w:rPr>
        <w:t>their targets’</w:t>
      </w:r>
      <w:r w:rsidR="009434C7" w:rsidRPr="004631BF" w:rsidDel="009434C7">
        <w:rPr>
          <w:color w:val="000000" w:themeColor="text1"/>
        </w:rPr>
        <w:t xml:space="preserve"> </w:t>
      </w:r>
      <w:r w:rsidR="00E834B1" w:rsidRPr="004631BF">
        <w:rPr>
          <w:color w:val="000000" w:themeColor="text1"/>
        </w:rPr>
        <w:t>lives, if not getting them dismissed outright.</w:t>
      </w:r>
      <w:r w:rsidR="00E834B1" w:rsidRPr="004631BF">
        <w:rPr>
          <w:rStyle w:val="FootnoteReference"/>
          <w:color w:val="000000" w:themeColor="text1"/>
        </w:rPr>
        <w:footnoteReference w:id="3"/>
      </w:r>
      <w:r w:rsidR="00E834B1" w:rsidRPr="004631BF">
        <w:rPr>
          <w:color w:val="000000" w:themeColor="text1"/>
        </w:rPr>
        <w:t xml:space="preserve"> </w:t>
      </w:r>
    </w:p>
    <w:p w14:paraId="1905A19E" w14:textId="1CCB657A" w:rsidR="00B55C73" w:rsidRPr="004631BF" w:rsidRDefault="00B55C73" w:rsidP="0020093E">
      <w:pPr>
        <w:spacing w:before="120" w:after="120" w:line="480" w:lineRule="auto"/>
        <w:rPr>
          <w:color w:val="000000" w:themeColor="text1"/>
        </w:rPr>
      </w:pPr>
      <w:r w:rsidRPr="004631BF">
        <w:rPr>
          <w:color w:val="000000" w:themeColor="text1"/>
        </w:rPr>
        <w:lastRenderedPageBreak/>
        <w:tab/>
        <w:t xml:space="preserve">There is also </w:t>
      </w:r>
      <w:r w:rsidR="00BA6F37" w:rsidRPr="004631BF">
        <w:rPr>
          <w:color w:val="000000" w:themeColor="text1"/>
        </w:rPr>
        <w:t xml:space="preserve">some </w:t>
      </w:r>
      <w:r w:rsidRPr="004631BF">
        <w:rPr>
          <w:color w:val="000000" w:themeColor="text1"/>
        </w:rPr>
        <w:t>reluctance, especially among Nontenure Line faculty, to engage with non-mask-wearing students</w:t>
      </w:r>
      <w:r w:rsidR="00BA6F37" w:rsidRPr="004631BF">
        <w:rPr>
          <w:color w:val="000000" w:themeColor="text1"/>
        </w:rPr>
        <w:t>, stemming</w:t>
      </w:r>
      <w:r w:rsidR="009434C7" w:rsidRPr="004631BF">
        <w:rPr>
          <w:color w:val="000000" w:themeColor="text1"/>
        </w:rPr>
        <w:t xml:space="preserve"> from </w:t>
      </w:r>
      <w:r w:rsidRPr="004631BF">
        <w:rPr>
          <w:color w:val="000000" w:themeColor="text1"/>
        </w:rPr>
        <w:t xml:space="preserve">fear that at least some of the non-mask-wearers </w:t>
      </w:r>
      <w:r w:rsidR="00BA6F37" w:rsidRPr="004631BF">
        <w:rPr>
          <w:color w:val="000000" w:themeColor="text1"/>
        </w:rPr>
        <w:t xml:space="preserve">are </w:t>
      </w:r>
      <w:r w:rsidRPr="004631BF">
        <w:rPr>
          <w:color w:val="000000" w:themeColor="text1"/>
        </w:rPr>
        <w:t xml:space="preserve"> acting out of political convictions</w:t>
      </w:r>
      <w:r w:rsidR="00BA6F37" w:rsidRPr="004631BF">
        <w:rPr>
          <w:color w:val="000000" w:themeColor="text1"/>
        </w:rPr>
        <w:t>, and</w:t>
      </w:r>
      <w:r w:rsidR="009434C7" w:rsidRPr="004631BF">
        <w:rPr>
          <w:color w:val="000000" w:themeColor="text1"/>
        </w:rPr>
        <w:t xml:space="preserve"> </w:t>
      </w:r>
      <w:r w:rsidRPr="004631BF">
        <w:rPr>
          <w:color w:val="000000" w:themeColor="text1"/>
        </w:rPr>
        <w:t xml:space="preserve">may possibly </w:t>
      </w:r>
      <w:r w:rsidR="00BA6F37" w:rsidRPr="004631BF">
        <w:rPr>
          <w:color w:val="000000" w:themeColor="text1"/>
        </w:rPr>
        <w:t xml:space="preserve">be </w:t>
      </w:r>
      <w:r w:rsidRPr="004631BF">
        <w:rPr>
          <w:color w:val="000000" w:themeColor="text1"/>
        </w:rPr>
        <w:t xml:space="preserve">being egged on by </w:t>
      </w:r>
      <w:r w:rsidR="00BA6F37" w:rsidRPr="004631BF">
        <w:rPr>
          <w:color w:val="000000" w:themeColor="text1"/>
        </w:rPr>
        <w:t xml:space="preserve">right-wing </w:t>
      </w:r>
      <w:r w:rsidRPr="004631BF">
        <w:rPr>
          <w:color w:val="000000" w:themeColor="text1"/>
        </w:rPr>
        <w:t xml:space="preserve">organizations who are looking to exploit </w:t>
      </w:r>
      <w:r w:rsidR="0093081F" w:rsidRPr="004631BF">
        <w:rPr>
          <w:color w:val="000000" w:themeColor="text1"/>
        </w:rPr>
        <w:t>a</w:t>
      </w:r>
      <w:r w:rsidRPr="004631BF">
        <w:rPr>
          <w:color w:val="000000" w:themeColor="text1"/>
        </w:rPr>
        <w:t xml:space="preserve"> controversy for publicity purposes.</w:t>
      </w:r>
    </w:p>
    <w:p w14:paraId="75B5CF6A" w14:textId="76449840" w:rsidR="009370D5" w:rsidRPr="004631BF" w:rsidRDefault="00B55C73" w:rsidP="0020093E">
      <w:pPr>
        <w:spacing w:before="120" w:after="120" w:line="480" w:lineRule="auto"/>
        <w:rPr>
          <w:color w:val="000000" w:themeColor="text1"/>
        </w:rPr>
      </w:pPr>
      <w:r w:rsidRPr="004631BF">
        <w:rPr>
          <w:color w:val="000000" w:themeColor="text1"/>
        </w:rPr>
        <w:tab/>
      </w:r>
      <w:r w:rsidR="00F77683" w:rsidRPr="004631BF">
        <w:rPr>
          <w:color w:val="000000" w:themeColor="text1"/>
        </w:rPr>
        <w:t>While f</w:t>
      </w:r>
      <w:r w:rsidRPr="004631BF">
        <w:rPr>
          <w:color w:val="000000" w:themeColor="text1"/>
        </w:rPr>
        <w:t xml:space="preserve">aculty </w:t>
      </w:r>
      <w:r w:rsidR="0093081F" w:rsidRPr="004631BF">
        <w:rPr>
          <w:color w:val="000000" w:themeColor="text1"/>
        </w:rPr>
        <w:t>may be</w:t>
      </w:r>
      <w:r w:rsidR="00171057" w:rsidRPr="004631BF">
        <w:rPr>
          <w:color w:val="000000" w:themeColor="text1"/>
        </w:rPr>
        <w:t xml:space="preserve"> uneasy</w:t>
      </w:r>
      <w:r w:rsidR="009370D5" w:rsidRPr="004631BF">
        <w:rPr>
          <w:color w:val="000000" w:themeColor="text1"/>
        </w:rPr>
        <w:t xml:space="preserve"> </w:t>
      </w:r>
      <w:r w:rsidR="00171057" w:rsidRPr="004631BF">
        <w:rPr>
          <w:color w:val="000000" w:themeColor="text1"/>
        </w:rPr>
        <w:t xml:space="preserve">with regard to </w:t>
      </w:r>
      <w:r w:rsidR="0093081F" w:rsidRPr="004631BF">
        <w:rPr>
          <w:color w:val="000000" w:themeColor="text1"/>
        </w:rPr>
        <w:t>their</w:t>
      </w:r>
      <w:r w:rsidR="00171057" w:rsidRPr="004631BF">
        <w:rPr>
          <w:color w:val="000000" w:themeColor="text1"/>
        </w:rPr>
        <w:t xml:space="preserve"> </w:t>
      </w:r>
      <w:r w:rsidR="00F77683" w:rsidRPr="004631BF">
        <w:rPr>
          <w:color w:val="000000" w:themeColor="text1"/>
        </w:rPr>
        <w:t xml:space="preserve">restricted </w:t>
      </w:r>
      <w:r w:rsidRPr="004631BF">
        <w:rPr>
          <w:color w:val="000000" w:themeColor="text1"/>
        </w:rPr>
        <w:t xml:space="preserve">role </w:t>
      </w:r>
      <w:r w:rsidR="00F77683" w:rsidRPr="004631BF">
        <w:rPr>
          <w:color w:val="000000" w:themeColor="text1"/>
        </w:rPr>
        <w:t>in framing</w:t>
      </w:r>
      <w:r w:rsidRPr="004631BF">
        <w:rPr>
          <w:color w:val="000000" w:themeColor="text1"/>
        </w:rPr>
        <w:t xml:space="preserve"> the administration’s recent </w:t>
      </w:r>
      <w:r w:rsidR="00F77683" w:rsidRPr="004631BF">
        <w:rPr>
          <w:color w:val="000000" w:themeColor="text1"/>
        </w:rPr>
        <w:t>policies in response to COVID</w:t>
      </w:r>
      <w:r w:rsidRPr="004631BF">
        <w:rPr>
          <w:color w:val="000000" w:themeColor="text1"/>
        </w:rPr>
        <w:t xml:space="preserve">-19, </w:t>
      </w:r>
      <w:r w:rsidR="00F77683" w:rsidRPr="004631BF">
        <w:rPr>
          <w:color w:val="000000" w:themeColor="text1"/>
        </w:rPr>
        <w:t xml:space="preserve">many express reluctance </w:t>
      </w:r>
      <w:r w:rsidRPr="004631BF">
        <w:rPr>
          <w:color w:val="000000" w:themeColor="text1"/>
        </w:rPr>
        <w:t>to speak out publicly</w:t>
      </w:r>
      <w:r w:rsidR="00F77683" w:rsidRPr="004631BF">
        <w:rPr>
          <w:color w:val="000000" w:themeColor="text1"/>
        </w:rPr>
        <w:t>. S</w:t>
      </w:r>
      <w:r w:rsidRPr="004631BF">
        <w:rPr>
          <w:color w:val="000000" w:themeColor="text1"/>
        </w:rPr>
        <w:t xml:space="preserve">tudent reporters from the </w:t>
      </w:r>
      <w:r w:rsidR="009370D5" w:rsidRPr="004631BF">
        <w:rPr>
          <w:i/>
          <w:iCs/>
          <w:color w:val="000000" w:themeColor="text1"/>
        </w:rPr>
        <w:t>University Star</w:t>
      </w:r>
      <w:r w:rsidR="009370D5" w:rsidRPr="004631BF">
        <w:rPr>
          <w:color w:val="000000" w:themeColor="text1"/>
        </w:rPr>
        <w:t xml:space="preserve"> and local news reporters have</w:t>
      </w:r>
      <w:r w:rsidR="00F77683" w:rsidRPr="004631BF">
        <w:rPr>
          <w:color w:val="000000" w:themeColor="text1"/>
        </w:rPr>
        <w:t xml:space="preserve"> both</w:t>
      </w:r>
      <w:r w:rsidR="009370D5" w:rsidRPr="004631BF">
        <w:rPr>
          <w:color w:val="000000" w:themeColor="text1"/>
        </w:rPr>
        <w:t xml:space="preserve"> </w:t>
      </w:r>
      <w:r w:rsidR="00F77683" w:rsidRPr="004631BF">
        <w:rPr>
          <w:color w:val="000000" w:themeColor="text1"/>
        </w:rPr>
        <w:t xml:space="preserve">acknowledged </w:t>
      </w:r>
      <w:r w:rsidRPr="004631BF">
        <w:rPr>
          <w:color w:val="000000" w:themeColor="text1"/>
        </w:rPr>
        <w:t xml:space="preserve">that </w:t>
      </w:r>
      <w:r w:rsidR="00F77683" w:rsidRPr="004631BF">
        <w:rPr>
          <w:color w:val="000000" w:themeColor="text1"/>
        </w:rPr>
        <w:t xml:space="preserve">while </w:t>
      </w:r>
      <w:r w:rsidRPr="004631BF">
        <w:rPr>
          <w:color w:val="000000" w:themeColor="text1"/>
        </w:rPr>
        <w:t xml:space="preserve">numerous faculty </w:t>
      </w:r>
      <w:r w:rsidR="0093081F" w:rsidRPr="004631BF">
        <w:rPr>
          <w:color w:val="000000" w:themeColor="text1"/>
        </w:rPr>
        <w:t xml:space="preserve">have </w:t>
      </w:r>
      <w:r w:rsidR="00F77683" w:rsidRPr="004631BF">
        <w:rPr>
          <w:color w:val="000000" w:themeColor="text1"/>
        </w:rPr>
        <w:t>express</w:t>
      </w:r>
      <w:r w:rsidR="0093081F" w:rsidRPr="004631BF">
        <w:rPr>
          <w:color w:val="000000" w:themeColor="text1"/>
        </w:rPr>
        <w:t>ed concerns</w:t>
      </w:r>
      <w:r w:rsidR="00F77683" w:rsidRPr="004631BF">
        <w:rPr>
          <w:color w:val="000000" w:themeColor="text1"/>
        </w:rPr>
        <w:t xml:space="preserve"> </w:t>
      </w:r>
      <w:r w:rsidR="00171057" w:rsidRPr="004631BF">
        <w:rPr>
          <w:color w:val="000000" w:themeColor="text1"/>
        </w:rPr>
        <w:t>about policies the university has taken, and how these policies were formed</w:t>
      </w:r>
      <w:r w:rsidRPr="004631BF">
        <w:rPr>
          <w:color w:val="000000" w:themeColor="text1"/>
        </w:rPr>
        <w:t xml:space="preserve">, </w:t>
      </w:r>
      <w:r w:rsidR="0093081F" w:rsidRPr="004631BF">
        <w:rPr>
          <w:color w:val="000000" w:themeColor="text1"/>
        </w:rPr>
        <w:t>few faculty</w:t>
      </w:r>
      <w:r w:rsidRPr="004631BF">
        <w:rPr>
          <w:color w:val="000000" w:themeColor="text1"/>
        </w:rPr>
        <w:t xml:space="preserve"> will speak </w:t>
      </w:r>
      <w:r w:rsidR="0093081F" w:rsidRPr="004631BF">
        <w:rPr>
          <w:color w:val="000000" w:themeColor="text1"/>
        </w:rPr>
        <w:t xml:space="preserve">to them </w:t>
      </w:r>
      <w:r w:rsidRPr="004631BF">
        <w:rPr>
          <w:color w:val="000000" w:themeColor="text1"/>
        </w:rPr>
        <w:t>on the record for fear of punitive actions.</w:t>
      </w:r>
      <w:r w:rsidR="009370D5" w:rsidRPr="004631BF">
        <w:rPr>
          <w:color w:val="000000" w:themeColor="text1"/>
        </w:rPr>
        <w:t xml:space="preserve"> </w:t>
      </w:r>
    </w:p>
    <w:p w14:paraId="08BE54BC" w14:textId="77777777" w:rsidR="001D7E87" w:rsidRPr="004631BF" w:rsidRDefault="001D7E87" w:rsidP="0020093E">
      <w:pPr>
        <w:pStyle w:val="Heading2"/>
        <w:spacing w:before="120" w:after="120" w:line="480" w:lineRule="auto"/>
        <w:rPr>
          <w:color w:val="000000" w:themeColor="text1"/>
        </w:rPr>
      </w:pPr>
    </w:p>
    <w:p w14:paraId="2B569DC5" w14:textId="36D79D67" w:rsidR="00B55C73" w:rsidRPr="004631BF" w:rsidRDefault="00B55C73" w:rsidP="0020093E">
      <w:pPr>
        <w:pStyle w:val="Heading2"/>
        <w:spacing w:before="120" w:after="120" w:line="480" w:lineRule="auto"/>
        <w:rPr>
          <w:color w:val="000000" w:themeColor="text1"/>
        </w:rPr>
      </w:pPr>
      <w:r w:rsidRPr="004631BF">
        <w:rPr>
          <w:color w:val="000000" w:themeColor="text1"/>
        </w:rPr>
        <w:t xml:space="preserve">Plans </w:t>
      </w:r>
      <w:r w:rsidR="001D7E87" w:rsidRPr="004631BF">
        <w:rPr>
          <w:color w:val="000000" w:themeColor="text1"/>
        </w:rPr>
        <w:t>G</w:t>
      </w:r>
      <w:r w:rsidRPr="004631BF">
        <w:rPr>
          <w:color w:val="000000" w:themeColor="text1"/>
        </w:rPr>
        <w:t>oing Forward</w:t>
      </w:r>
    </w:p>
    <w:p w14:paraId="5B9AF7D2" w14:textId="01A4C937" w:rsidR="002D358F" w:rsidRPr="004631BF" w:rsidRDefault="004E40F6" w:rsidP="0020093E">
      <w:pPr>
        <w:spacing w:before="120" w:after="120" w:line="480" w:lineRule="auto"/>
        <w:rPr>
          <w:color w:val="000000" w:themeColor="text1"/>
        </w:rPr>
      </w:pPr>
      <w:r w:rsidRPr="004631BF">
        <w:rPr>
          <w:color w:val="000000" w:themeColor="text1"/>
        </w:rPr>
        <w:tab/>
      </w:r>
      <w:r w:rsidR="001D7E87" w:rsidRPr="004631BF">
        <w:rPr>
          <w:color w:val="000000" w:themeColor="text1"/>
        </w:rPr>
        <w:t xml:space="preserve">While I am ending my Senate Fellowship, I intend to continue working on academic freedom issues, as it is an important issue to me personally. </w:t>
      </w:r>
      <w:r w:rsidR="00B55C73" w:rsidRPr="004631BF">
        <w:rPr>
          <w:color w:val="000000" w:themeColor="text1"/>
        </w:rPr>
        <w:t xml:space="preserve">In this upcoming semester, I am looking forward to hosting </w:t>
      </w:r>
      <w:r w:rsidR="006D3A82" w:rsidRPr="004631BF">
        <w:rPr>
          <w:color w:val="000000" w:themeColor="text1"/>
        </w:rPr>
        <w:t xml:space="preserve">a university-wide talk by my guest speaker, Dr. </w:t>
      </w:r>
      <w:r w:rsidR="002D358F" w:rsidRPr="004631BF">
        <w:rPr>
          <w:color w:val="000000" w:themeColor="text1"/>
        </w:rPr>
        <w:t xml:space="preserve">Jonathan Zimmerman </w:t>
      </w:r>
      <w:r w:rsidR="003A2A2B" w:rsidRPr="004631BF">
        <w:rPr>
          <w:color w:val="000000" w:themeColor="text1"/>
        </w:rPr>
        <w:t xml:space="preserve">Oct. 28, on Zoom. </w:t>
      </w:r>
      <w:r w:rsidR="006D3A82" w:rsidRPr="004631BF">
        <w:rPr>
          <w:color w:val="000000" w:themeColor="text1"/>
        </w:rPr>
        <w:t xml:space="preserve">Dr. Zimmerman is a noted expert on academic freedom, campus politics, and the history of academic freedom issues; he will be speaking on issues related to campus politics in the age of Donald Trump. </w:t>
      </w:r>
    </w:p>
    <w:p w14:paraId="47E22212" w14:textId="660E1615" w:rsidR="0093081F" w:rsidRPr="004631BF" w:rsidRDefault="002F5DEC" w:rsidP="0093081F">
      <w:pPr>
        <w:spacing w:before="120" w:after="120" w:line="480" w:lineRule="auto"/>
        <w:rPr>
          <w:color w:val="000000" w:themeColor="text1"/>
        </w:rPr>
      </w:pPr>
      <w:r w:rsidRPr="004631BF">
        <w:rPr>
          <w:color w:val="000000" w:themeColor="text1"/>
        </w:rPr>
        <w:tab/>
      </w:r>
      <w:r w:rsidR="00405810" w:rsidRPr="004631BF">
        <w:rPr>
          <w:color w:val="000000" w:themeColor="text1"/>
        </w:rPr>
        <w:t>I would also like to remain in the AFC</w:t>
      </w:r>
      <w:r w:rsidRPr="004631BF">
        <w:rPr>
          <w:color w:val="000000" w:themeColor="text1"/>
        </w:rPr>
        <w:t xml:space="preserve">. </w:t>
      </w:r>
      <w:r w:rsidR="001D7E87" w:rsidRPr="004631BF">
        <w:rPr>
          <w:color w:val="000000" w:themeColor="text1"/>
        </w:rPr>
        <w:t xml:space="preserve">The </w:t>
      </w:r>
      <w:r w:rsidR="006D3A82" w:rsidRPr="004631BF">
        <w:rPr>
          <w:color w:val="000000" w:themeColor="text1"/>
        </w:rPr>
        <w:t>AFC would like to initiate a Common Experience proposal related to academic freedom in the future</w:t>
      </w:r>
      <w:r w:rsidR="001D7E87" w:rsidRPr="004631BF">
        <w:rPr>
          <w:color w:val="000000" w:themeColor="text1"/>
        </w:rPr>
        <w:t>, and</w:t>
      </w:r>
      <w:r w:rsidR="006D3A82" w:rsidRPr="004631BF">
        <w:rPr>
          <w:color w:val="000000" w:themeColor="text1"/>
        </w:rPr>
        <w:t xml:space="preserve"> I would like to be a part of it.</w:t>
      </w:r>
      <w:r w:rsidR="001D7E87" w:rsidRPr="004631BF">
        <w:rPr>
          <w:color w:val="000000" w:themeColor="text1"/>
        </w:rPr>
        <w:t xml:space="preserve"> </w:t>
      </w:r>
      <w:r w:rsidR="00171057" w:rsidRPr="004631BF">
        <w:rPr>
          <w:color w:val="000000" w:themeColor="text1"/>
        </w:rPr>
        <w:t>The precarious position of Nontenure Line Faculty (currently 56% of all faculty), and their lack of redress should they be dismissed for academic freedom issues</w:t>
      </w:r>
      <w:r w:rsidR="00171057" w:rsidRPr="004631BF" w:rsidDel="00171057">
        <w:rPr>
          <w:color w:val="000000" w:themeColor="text1"/>
        </w:rPr>
        <w:t xml:space="preserve"> </w:t>
      </w:r>
      <w:r w:rsidR="0093081F" w:rsidRPr="004631BF">
        <w:rPr>
          <w:color w:val="000000" w:themeColor="text1"/>
        </w:rPr>
        <w:t xml:space="preserve">are concerns </w:t>
      </w:r>
      <w:r w:rsidR="00171057" w:rsidRPr="004631BF">
        <w:rPr>
          <w:color w:val="000000" w:themeColor="text1"/>
        </w:rPr>
        <w:t xml:space="preserve">at the </w:t>
      </w:r>
      <w:r w:rsidR="0093081F" w:rsidRPr="004631BF">
        <w:rPr>
          <w:color w:val="000000" w:themeColor="text1"/>
        </w:rPr>
        <w:t>fore</w:t>
      </w:r>
      <w:r w:rsidR="00171057" w:rsidRPr="004631BF">
        <w:rPr>
          <w:color w:val="000000" w:themeColor="text1"/>
        </w:rPr>
        <w:t>front of</w:t>
      </w:r>
      <w:r w:rsidRPr="004631BF">
        <w:rPr>
          <w:color w:val="000000" w:themeColor="text1"/>
        </w:rPr>
        <w:t xml:space="preserve"> both the NLFC Survey of 2019 and the AFC’s research into Texas State’s official policies </w:t>
      </w:r>
      <w:r w:rsidRPr="004631BF">
        <w:rPr>
          <w:color w:val="000000" w:themeColor="text1"/>
        </w:rPr>
        <w:lastRenderedPageBreak/>
        <w:t>regarding academic freedom. Texas State’s AA/PPS No. 02.03.01 “</w:t>
      </w:r>
      <w:r w:rsidRPr="004631BF">
        <w:rPr>
          <w:rFonts w:eastAsia="Times New Roman"/>
          <w:color w:val="000000" w:themeColor="text1"/>
        </w:rPr>
        <w:t>affirms that faculty members enjoy full academic freedom, including the right to freely discuss the subject matter of their area of specialization, as well as academic responsibilities.” However, it also notes</w:t>
      </w:r>
      <w:r w:rsidR="00171057" w:rsidRPr="004631BF">
        <w:rPr>
          <w:rFonts w:eastAsia="Times New Roman"/>
          <w:color w:val="000000" w:themeColor="text1"/>
        </w:rPr>
        <w:t>,</w:t>
      </w:r>
      <w:r w:rsidRPr="004631BF">
        <w:rPr>
          <w:rFonts w:eastAsia="Times New Roman"/>
          <w:color w:val="000000" w:themeColor="text1"/>
        </w:rPr>
        <w:t xml:space="preserve"> “</w:t>
      </w:r>
      <w:r w:rsidR="00171057" w:rsidRPr="004631BF">
        <w:rPr>
          <w:rFonts w:eastAsia="Times New Roman"/>
          <w:color w:val="000000" w:themeColor="text1"/>
        </w:rPr>
        <w:t>i</w:t>
      </w:r>
      <w:r w:rsidRPr="004631BF">
        <w:rPr>
          <w:rFonts w:eastAsia="Times New Roman"/>
          <w:color w:val="000000" w:themeColor="text1"/>
        </w:rPr>
        <w:t xml:space="preserve">n non-reappointment of non-tenured faculty or denying promotion to faculty, administrative officers </w:t>
      </w:r>
      <w:r w:rsidRPr="004631BF">
        <w:rPr>
          <w:rFonts w:eastAsia="Times New Roman"/>
          <w:b/>
          <w:bCs/>
          <w:color w:val="000000" w:themeColor="text1"/>
          <w:u w:val="single"/>
        </w:rPr>
        <w:t>need not give reasons</w:t>
      </w:r>
      <w:r w:rsidRPr="004631BF">
        <w:rPr>
          <w:rFonts w:eastAsia="Times New Roman"/>
          <w:color w:val="000000" w:themeColor="text1"/>
        </w:rPr>
        <w:t xml:space="preserve"> [my emphasis]; however, they may not deny reappointment to non-tenured faculty members or deny promotion to faculty members for exercising their academic freedom.” </w:t>
      </w:r>
      <w:r w:rsidR="0093081F" w:rsidRPr="004631BF">
        <w:rPr>
          <w:rFonts w:eastAsia="Times New Roman"/>
          <w:color w:val="000000" w:themeColor="text1"/>
        </w:rPr>
        <w:t xml:space="preserve">The AFC agrees that there a legal grey area here which needs to be further explored. </w:t>
      </w:r>
    </w:p>
    <w:p w14:paraId="1CECFB7E" w14:textId="4941DCA3" w:rsidR="00171057" w:rsidRPr="004631BF" w:rsidRDefault="0093081F" w:rsidP="0093081F">
      <w:pPr>
        <w:spacing w:before="120" w:after="120" w:line="480" w:lineRule="auto"/>
        <w:rPr>
          <w:rFonts w:eastAsia="Times New Roman"/>
          <w:color w:val="000000" w:themeColor="text1"/>
        </w:rPr>
      </w:pPr>
      <w:r w:rsidRPr="004631BF">
        <w:rPr>
          <w:color w:val="000000" w:themeColor="text1"/>
        </w:rPr>
        <w:tab/>
        <w:t>When the Covid epidemic hit last spring, I had been planning a third Faculty Dialogue “‘Perilous Tweets’: Academic Freedom, Cyber-Bullying, and Social Media,” which was cancelled; I would still like to hold it, possibly in conjunction with the AFC, as I increasingly see this as an important issue related to academic freedom.</w:t>
      </w:r>
    </w:p>
    <w:p w14:paraId="164F8317" w14:textId="77777777" w:rsidR="001D7E87" w:rsidRPr="004631BF" w:rsidRDefault="001D7E87" w:rsidP="0020093E">
      <w:pPr>
        <w:pStyle w:val="Heading2"/>
        <w:spacing w:before="120" w:after="120" w:line="480" w:lineRule="auto"/>
        <w:rPr>
          <w:color w:val="000000" w:themeColor="text1"/>
        </w:rPr>
      </w:pPr>
    </w:p>
    <w:p w14:paraId="40D55101" w14:textId="08C55B62" w:rsidR="00006A41" w:rsidRPr="004631BF" w:rsidRDefault="004E40F6" w:rsidP="0020093E">
      <w:pPr>
        <w:pStyle w:val="Heading2"/>
        <w:spacing w:before="120" w:after="120" w:line="480" w:lineRule="auto"/>
        <w:rPr>
          <w:color w:val="000000" w:themeColor="text1"/>
        </w:rPr>
      </w:pPr>
      <w:r w:rsidRPr="004631BF">
        <w:rPr>
          <w:color w:val="000000" w:themeColor="text1"/>
        </w:rPr>
        <w:t>Report on Academic Freedom Incidents, 2010-2020</w:t>
      </w:r>
    </w:p>
    <w:p w14:paraId="14D773D8" w14:textId="41971072" w:rsidR="001D7E87" w:rsidRPr="004631BF" w:rsidRDefault="004E40F6" w:rsidP="0020093E">
      <w:pPr>
        <w:spacing w:before="120" w:after="120" w:line="480" w:lineRule="auto"/>
        <w:rPr>
          <w:rFonts w:eastAsia="Times New Roman"/>
        </w:rPr>
      </w:pPr>
      <w:r w:rsidRPr="004631BF">
        <w:rPr>
          <w:rStyle w:val="Heading1Char"/>
          <w:caps w:val="0"/>
          <w:color w:val="000000" w:themeColor="text1"/>
        </w:rPr>
        <w:tab/>
      </w:r>
      <w:r w:rsidR="00B55C73" w:rsidRPr="004631BF">
        <w:rPr>
          <w:rStyle w:val="Heading1Char"/>
          <w:caps w:val="0"/>
          <w:color w:val="000000" w:themeColor="text1"/>
        </w:rPr>
        <w:t>The research project that I undertook as a part of my duties as Senate Fellow was a year-long study of academic freedom incidents nationwide, from 2010 to 2020. It was initially prompted by a 2010 AAUP report, which noted that academic freedom incidents seemed to be on a significant upturn since 2000.</w:t>
      </w:r>
      <w:r w:rsidR="001D7E87" w:rsidRPr="004631BF">
        <w:rPr>
          <w:rStyle w:val="FootnoteReference"/>
          <w:rFonts w:eastAsiaTheme="majorEastAsia" w:cs="Times New Roman (Headings CS)"/>
          <w:color w:val="000000" w:themeColor="text1"/>
        </w:rPr>
        <w:footnoteReference w:id="4"/>
      </w:r>
      <w:r w:rsidR="001D7E87" w:rsidRPr="004631BF">
        <w:rPr>
          <w:rStyle w:val="Heading1Char"/>
          <w:caps w:val="0"/>
          <w:color w:val="000000" w:themeColor="text1"/>
        </w:rPr>
        <w:t xml:space="preserve"> </w:t>
      </w:r>
      <w:r w:rsidR="00B55C73" w:rsidRPr="004631BF">
        <w:rPr>
          <w:rStyle w:val="Heading1Char"/>
          <w:caps w:val="0"/>
          <w:color w:val="000000" w:themeColor="text1"/>
        </w:rPr>
        <w:t xml:space="preserve"> I began my study to see if this trend would continue into the next decade. Unfortunately, what I found was clear evidence that it had. </w:t>
      </w:r>
      <w:r w:rsidR="006D3A82" w:rsidRPr="004631BF">
        <w:rPr>
          <w:color w:val="000000" w:themeColor="text1"/>
        </w:rPr>
        <w:t xml:space="preserve">My own work also notes a substantial uptick in cases since the 2016 election, and notably in the last couple of years. </w:t>
      </w:r>
      <w:r w:rsidR="0020093E" w:rsidRPr="004631BF">
        <w:rPr>
          <w:color w:val="000000" w:themeColor="text1"/>
        </w:rPr>
        <w:t xml:space="preserve">In 2018, </w:t>
      </w:r>
      <w:r w:rsidR="0020093E" w:rsidRPr="004631BF">
        <w:t>Cary Nelson, then president of the AAUP, identified sixteen major threats to academic freedom: “</w:t>
      </w:r>
      <w:r w:rsidR="0020093E" w:rsidRPr="004631BF">
        <w:rPr>
          <w:rFonts w:eastAsia="Times New Roman"/>
        </w:rPr>
        <w:t xml:space="preserve">instrumentalization, contingency, authoritarian administration, abuses of the national security </w:t>
      </w:r>
      <w:r w:rsidR="0020093E" w:rsidRPr="004631BF">
        <w:rPr>
          <w:rFonts w:eastAsia="Times New Roman"/>
        </w:rPr>
        <w:lastRenderedPageBreak/>
        <w:t>state, administration restrictions on the use of communication technology, unwarranted research oversight, neoliberal assaults on academic disciplines, managerial ideology, circumvention of shared governance, globalization, opposition to human rights, inadequate grievance procedures, religious intolerance, political intolerance, legal threats, and claims of financial crisis.”</w:t>
      </w:r>
      <w:r w:rsidR="0020093E" w:rsidRPr="004631BF">
        <w:rPr>
          <w:rStyle w:val="FootnoteReference"/>
          <w:rFonts w:eastAsia="Times New Roman"/>
        </w:rPr>
        <w:footnoteReference w:id="5"/>
      </w:r>
      <w:r w:rsidR="0020093E" w:rsidRPr="004631BF">
        <w:rPr>
          <w:rFonts w:eastAsia="Times New Roman"/>
        </w:rPr>
        <w:t xml:space="preserve"> Many of these continue to exert a clear and growing influence on academic freedom matters nationwide. </w:t>
      </w:r>
    </w:p>
    <w:p w14:paraId="7FBA43C6" w14:textId="2883F532" w:rsidR="00DE129A" w:rsidRPr="004631BF" w:rsidRDefault="001D7E87" w:rsidP="0020093E">
      <w:pPr>
        <w:spacing w:before="120" w:after="120" w:line="480" w:lineRule="auto"/>
        <w:rPr>
          <w:rFonts w:eastAsia="Times New Roman"/>
        </w:rPr>
      </w:pPr>
      <w:r w:rsidRPr="004631BF">
        <w:rPr>
          <w:rFonts w:eastAsia="Times New Roman"/>
        </w:rPr>
        <w:tab/>
      </w:r>
      <w:r w:rsidR="00DE129A" w:rsidRPr="004631BF">
        <w:rPr>
          <w:rFonts w:eastAsia="Times New Roman"/>
        </w:rPr>
        <w:t xml:space="preserve">Increasingly, the AAUP has come to stress the connection between decreasing academic freedom overall and the rise of contingent faculty labor: </w:t>
      </w:r>
    </w:p>
    <w:p w14:paraId="29C4A936" w14:textId="4F873831" w:rsidR="001D7E87" w:rsidRPr="004631BF" w:rsidRDefault="00DE129A" w:rsidP="001D7E87">
      <w:pPr>
        <w:spacing w:before="120" w:after="120"/>
        <w:ind w:left="720" w:right="720"/>
        <w:jc w:val="both"/>
        <w:rPr>
          <w:rStyle w:val="Heading1Char"/>
          <w:rFonts w:eastAsiaTheme="minorHAnsi" w:cs="Times New Roman"/>
          <w:caps w:val="0"/>
        </w:rPr>
      </w:pPr>
      <w:r w:rsidRPr="004631BF">
        <w:t>For quite a while, it has been clear that the traditional version of academic freedom is out of date and must be altered to accommodate the structural changes that have transformed higher education. Now that more than 70 percent of the instruction in today’s colleges and universities is done by faculty members on contingent appointments, it is no longer possible to view academic freedom as primarily secured by tenure. The protection that tenure once conferred on the academic profes</w:t>
      </w:r>
      <w:r w:rsidRPr="004631BF">
        <w:softHyphen/>
        <w:t>sion the AAUP now seeks to provide in other ways: through unionization and an effort to ensure that all long-serving, full-time faculty members on contingent appointments receive the same due-process protections as their tenured and tenure-track colleagues.</w:t>
      </w:r>
      <w:r w:rsidRPr="004631BF">
        <w:rPr>
          <w:rStyle w:val="FootnoteReference"/>
        </w:rPr>
        <w:footnoteReference w:id="6"/>
      </w:r>
      <w:r w:rsidRPr="004631BF">
        <w:t xml:space="preserve"> </w:t>
      </w:r>
    </w:p>
    <w:p w14:paraId="57917FE3" w14:textId="03684B89" w:rsidR="0093081F" w:rsidRPr="004631BF" w:rsidRDefault="0093081F" w:rsidP="0020093E">
      <w:pPr>
        <w:spacing w:before="120" w:after="120" w:line="480" w:lineRule="auto"/>
        <w:rPr>
          <w:rStyle w:val="Heading1Char"/>
          <w:caps w:val="0"/>
          <w:smallCaps/>
          <w:color w:val="000000" w:themeColor="text1"/>
        </w:rPr>
      </w:pPr>
    </w:p>
    <w:p w14:paraId="532665F0" w14:textId="0321979C" w:rsidR="00CC24FD" w:rsidRPr="004631BF" w:rsidRDefault="00CC24FD" w:rsidP="0020093E">
      <w:pPr>
        <w:spacing w:before="120" w:after="120" w:line="480" w:lineRule="auto"/>
        <w:rPr>
          <w:rStyle w:val="Heading1Char"/>
          <w:caps w:val="0"/>
          <w:smallCaps/>
          <w:color w:val="000000" w:themeColor="text1"/>
        </w:rPr>
      </w:pPr>
    </w:p>
    <w:p w14:paraId="3AC1F2F8" w14:textId="77777777" w:rsidR="00CC24FD" w:rsidRPr="004631BF" w:rsidRDefault="00CC24FD" w:rsidP="0020093E">
      <w:pPr>
        <w:spacing w:before="120" w:after="120" w:line="480" w:lineRule="auto"/>
        <w:rPr>
          <w:rStyle w:val="Heading1Char"/>
          <w:caps w:val="0"/>
          <w:smallCaps/>
          <w:color w:val="000000" w:themeColor="text1"/>
        </w:rPr>
      </w:pPr>
    </w:p>
    <w:p w14:paraId="312579F4" w14:textId="178ACCA8" w:rsidR="001D7E87" w:rsidRPr="004631BF" w:rsidRDefault="001D7E87" w:rsidP="0020093E">
      <w:pPr>
        <w:spacing w:before="120" w:after="120" w:line="480" w:lineRule="auto"/>
        <w:rPr>
          <w:rStyle w:val="Heading1Char"/>
          <w:caps w:val="0"/>
          <w:smallCaps/>
          <w:color w:val="000000" w:themeColor="text1"/>
        </w:rPr>
      </w:pPr>
      <w:r w:rsidRPr="004631BF">
        <w:rPr>
          <w:rStyle w:val="Heading1Char"/>
          <w:caps w:val="0"/>
          <w:smallCaps/>
          <w:color w:val="000000" w:themeColor="text1"/>
        </w:rPr>
        <w:t>Methodology of My Study:</w:t>
      </w:r>
    </w:p>
    <w:p w14:paraId="50531657" w14:textId="62FE545D" w:rsidR="0000767B" w:rsidRPr="004631BF" w:rsidRDefault="001D7E87" w:rsidP="0020093E">
      <w:pPr>
        <w:spacing w:before="120" w:after="120" w:line="480" w:lineRule="auto"/>
        <w:rPr>
          <w:color w:val="000000" w:themeColor="text1"/>
        </w:rPr>
      </w:pPr>
      <w:r w:rsidRPr="004631BF">
        <w:rPr>
          <w:rStyle w:val="Heading1Char"/>
          <w:caps w:val="0"/>
          <w:color w:val="000000" w:themeColor="text1"/>
        </w:rPr>
        <w:tab/>
      </w:r>
      <w:r w:rsidR="0000767B" w:rsidRPr="004631BF">
        <w:rPr>
          <w:rStyle w:val="Heading1Char"/>
          <w:caps w:val="0"/>
          <w:color w:val="000000" w:themeColor="text1"/>
        </w:rPr>
        <w:t xml:space="preserve">I began </w:t>
      </w:r>
      <w:r w:rsidR="0093081F" w:rsidRPr="004631BF">
        <w:rPr>
          <w:rStyle w:val="Heading1Char"/>
          <w:caps w:val="0"/>
          <w:color w:val="000000" w:themeColor="text1"/>
        </w:rPr>
        <w:t xml:space="preserve">the research for </w:t>
      </w:r>
      <w:r w:rsidR="0000767B" w:rsidRPr="004631BF">
        <w:rPr>
          <w:rStyle w:val="Heading1Char"/>
          <w:caps w:val="0"/>
          <w:color w:val="000000" w:themeColor="text1"/>
        </w:rPr>
        <w:t xml:space="preserve">my </w:t>
      </w:r>
      <w:r w:rsidR="0093081F" w:rsidRPr="004631BF">
        <w:rPr>
          <w:rStyle w:val="Heading1Char"/>
          <w:caps w:val="0"/>
          <w:color w:val="000000" w:themeColor="text1"/>
        </w:rPr>
        <w:t>report</w:t>
      </w:r>
      <w:r w:rsidR="0000767B" w:rsidRPr="004631BF">
        <w:rPr>
          <w:rStyle w:val="Heading1Char"/>
          <w:caps w:val="0"/>
          <w:color w:val="000000" w:themeColor="text1"/>
        </w:rPr>
        <w:t xml:space="preserve"> </w:t>
      </w:r>
      <w:r w:rsidR="006D55BD" w:rsidRPr="004631BF">
        <w:rPr>
          <w:rStyle w:val="Heading1Char"/>
          <w:caps w:val="0"/>
          <w:color w:val="000000" w:themeColor="text1"/>
        </w:rPr>
        <w:t>using</w:t>
      </w:r>
      <w:r w:rsidR="0000767B" w:rsidRPr="004631BF">
        <w:rPr>
          <w:rStyle w:val="Heading1Char"/>
          <w:caps w:val="0"/>
          <w:color w:val="000000" w:themeColor="text1"/>
        </w:rPr>
        <w:t xml:space="preserve"> more traditional </w:t>
      </w:r>
      <w:r w:rsidR="006D55BD" w:rsidRPr="004631BF">
        <w:rPr>
          <w:rStyle w:val="Heading1Char"/>
          <w:caps w:val="0"/>
          <w:color w:val="000000" w:themeColor="text1"/>
        </w:rPr>
        <w:t>academic sources:</w:t>
      </w:r>
      <w:r w:rsidR="0000767B" w:rsidRPr="004631BF">
        <w:rPr>
          <w:rStyle w:val="Heading1Char"/>
          <w:caps w:val="0"/>
          <w:color w:val="000000" w:themeColor="text1"/>
        </w:rPr>
        <w:t xml:space="preserve"> </w:t>
      </w:r>
      <w:r w:rsidR="0000767B" w:rsidRPr="004631BF">
        <w:rPr>
          <w:rStyle w:val="Heading1Char"/>
          <w:i/>
          <w:iCs/>
          <w:caps w:val="0"/>
          <w:color w:val="000000" w:themeColor="text1"/>
        </w:rPr>
        <w:t>The Chronicle</w:t>
      </w:r>
      <w:r w:rsidR="0000767B" w:rsidRPr="004631BF">
        <w:rPr>
          <w:rStyle w:val="Heading1Char"/>
          <w:caps w:val="0"/>
          <w:color w:val="000000" w:themeColor="text1"/>
        </w:rPr>
        <w:t xml:space="preserve"> of </w:t>
      </w:r>
      <w:r w:rsidR="0000767B" w:rsidRPr="004631BF">
        <w:rPr>
          <w:i/>
          <w:iCs/>
          <w:color w:val="000000" w:themeColor="text1"/>
        </w:rPr>
        <w:t>Higher Education (CHE)</w:t>
      </w:r>
      <w:r w:rsidR="0000767B" w:rsidRPr="004631BF">
        <w:rPr>
          <w:color w:val="000000" w:themeColor="text1"/>
        </w:rPr>
        <w:t xml:space="preserve">, </w:t>
      </w:r>
      <w:r w:rsidR="0000767B" w:rsidRPr="004631BF">
        <w:rPr>
          <w:i/>
          <w:iCs/>
          <w:color w:val="000000" w:themeColor="text1"/>
        </w:rPr>
        <w:t>Inside Higher Education (IHE)</w:t>
      </w:r>
      <w:r w:rsidR="0000767B" w:rsidRPr="004631BF">
        <w:rPr>
          <w:color w:val="000000" w:themeColor="text1"/>
        </w:rPr>
        <w:t xml:space="preserve">, the </w:t>
      </w:r>
      <w:r w:rsidR="0000767B" w:rsidRPr="004631BF">
        <w:rPr>
          <w:i/>
          <w:iCs/>
          <w:color w:val="000000" w:themeColor="text1"/>
        </w:rPr>
        <w:t>American Academic of University Professors (AAUP)</w:t>
      </w:r>
      <w:r w:rsidR="0000767B" w:rsidRPr="004631BF">
        <w:rPr>
          <w:color w:val="000000" w:themeColor="text1"/>
        </w:rPr>
        <w:t xml:space="preserve">,  and the </w:t>
      </w:r>
      <w:r w:rsidR="0000767B" w:rsidRPr="004631BF">
        <w:rPr>
          <w:i/>
          <w:iCs/>
          <w:color w:val="000000" w:themeColor="text1"/>
        </w:rPr>
        <w:t>Foundation for Individual Rights in Education</w:t>
      </w:r>
      <w:r w:rsidR="0000767B" w:rsidRPr="004631BF">
        <w:rPr>
          <w:color w:val="000000" w:themeColor="text1"/>
        </w:rPr>
        <w:t xml:space="preserve"> (</w:t>
      </w:r>
      <w:r w:rsidR="0000767B" w:rsidRPr="004631BF">
        <w:rPr>
          <w:i/>
          <w:iCs/>
          <w:color w:val="000000" w:themeColor="text1"/>
        </w:rPr>
        <w:t>FIRE)</w:t>
      </w:r>
      <w:r w:rsidR="0000767B" w:rsidRPr="004631BF">
        <w:rPr>
          <w:color w:val="000000" w:themeColor="text1"/>
        </w:rPr>
        <w:t xml:space="preserve">, as </w:t>
      </w:r>
      <w:r w:rsidR="0000767B" w:rsidRPr="004631BF">
        <w:rPr>
          <w:color w:val="000000" w:themeColor="text1"/>
        </w:rPr>
        <w:lastRenderedPageBreak/>
        <w:t xml:space="preserve">well as monographs written in recent years on academic controversies. However, I soon realized that this method was missing cases that did not rise to termination, as well as most incidents involving faculty working off the tenure track. I began also searching through the “provocateur press”—websites such as </w:t>
      </w:r>
      <w:r w:rsidR="0000767B" w:rsidRPr="004631BF">
        <w:rPr>
          <w:i/>
          <w:iCs/>
          <w:color w:val="000000" w:themeColor="text1"/>
        </w:rPr>
        <w:t>Professor Watchlist</w:t>
      </w:r>
      <w:r w:rsidR="0000767B" w:rsidRPr="004631BF">
        <w:rPr>
          <w:color w:val="000000" w:themeColor="text1"/>
        </w:rPr>
        <w:t xml:space="preserve">, </w:t>
      </w:r>
      <w:r w:rsidR="0000767B" w:rsidRPr="004631BF">
        <w:rPr>
          <w:i/>
          <w:iCs/>
          <w:color w:val="000000" w:themeColor="text1"/>
        </w:rPr>
        <w:t>Rate My Racist Professor</w:t>
      </w:r>
      <w:r w:rsidR="0000767B" w:rsidRPr="004631BF">
        <w:rPr>
          <w:color w:val="000000" w:themeColor="text1"/>
        </w:rPr>
        <w:t xml:space="preserve">, </w:t>
      </w:r>
      <w:r w:rsidR="0000767B" w:rsidRPr="004631BF">
        <w:rPr>
          <w:i/>
          <w:iCs/>
          <w:color w:val="000000" w:themeColor="text1"/>
        </w:rPr>
        <w:t>Rate My Marxist Professor</w:t>
      </w:r>
      <w:r w:rsidR="0000767B" w:rsidRPr="004631BF">
        <w:rPr>
          <w:color w:val="000000" w:themeColor="text1"/>
        </w:rPr>
        <w:t xml:space="preserve">, </w:t>
      </w:r>
      <w:r w:rsidR="0000767B" w:rsidRPr="004631BF">
        <w:rPr>
          <w:i/>
          <w:iCs/>
          <w:color w:val="000000" w:themeColor="text1"/>
        </w:rPr>
        <w:t>College Fix</w:t>
      </w:r>
      <w:r w:rsidR="0000767B" w:rsidRPr="004631BF">
        <w:rPr>
          <w:color w:val="000000" w:themeColor="text1"/>
        </w:rPr>
        <w:t xml:space="preserve">, </w:t>
      </w:r>
      <w:r w:rsidR="0000767B" w:rsidRPr="004631BF">
        <w:rPr>
          <w:i/>
          <w:iCs/>
          <w:color w:val="000000" w:themeColor="text1"/>
        </w:rPr>
        <w:t>Campus Reform</w:t>
      </w:r>
      <w:r w:rsidR="0000767B" w:rsidRPr="004631BF">
        <w:rPr>
          <w:color w:val="000000" w:themeColor="text1"/>
        </w:rPr>
        <w:t xml:space="preserve">, </w:t>
      </w:r>
      <w:r w:rsidR="00E834B1" w:rsidRPr="004631BF">
        <w:rPr>
          <w:i/>
          <w:iCs/>
          <w:color w:val="000000" w:themeColor="text1"/>
        </w:rPr>
        <w:t>Brietbart</w:t>
      </w:r>
      <w:r w:rsidR="0000767B" w:rsidRPr="004631BF">
        <w:rPr>
          <w:color w:val="000000" w:themeColor="text1"/>
        </w:rPr>
        <w:t xml:space="preserve">, </w:t>
      </w:r>
      <w:r w:rsidRPr="004631BF">
        <w:rPr>
          <w:color w:val="000000" w:themeColor="text1"/>
        </w:rPr>
        <w:t xml:space="preserve">and </w:t>
      </w:r>
      <w:r w:rsidR="0000767B" w:rsidRPr="004631BF">
        <w:rPr>
          <w:i/>
          <w:iCs/>
          <w:color w:val="000000" w:themeColor="text1"/>
        </w:rPr>
        <w:t>InfoWars</w:t>
      </w:r>
      <w:r w:rsidR="0000767B" w:rsidRPr="004631BF">
        <w:rPr>
          <w:color w:val="000000" w:themeColor="text1"/>
        </w:rPr>
        <w:t>—to find cases and then see if they “got legs” and rose to the level of a serious controversy—I mainly did this through searching for the professor and institution’s name as well as key phrases related to the incident. Press coverage</w:t>
      </w:r>
      <w:r w:rsidRPr="004631BF">
        <w:rPr>
          <w:color w:val="000000" w:themeColor="text1"/>
        </w:rPr>
        <w:t>,</w:t>
      </w:r>
      <w:r w:rsidR="0000767B" w:rsidRPr="004631BF">
        <w:rPr>
          <w:color w:val="000000" w:themeColor="text1"/>
        </w:rPr>
        <w:t xml:space="preserve"> particularly for the </w:t>
      </w:r>
      <w:r w:rsidRPr="004631BF">
        <w:rPr>
          <w:color w:val="000000" w:themeColor="text1"/>
        </w:rPr>
        <w:t>N</w:t>
      </w:r>
      <w:r w:rsidR="0000767B" w:rsidRPr="004631BF">
        <w:rPr>
          <w:color w:val="000000" w:themeColor="text1"/>
        </w:rPr>
        <w:t xml:space="preserve">ontenure </w:t>
      </w:r>
      <w:r w:rsidRPr="004631BF">
        <w:rPr>
          <w:color w:val="000000" w:themeColor="text1"/>
        </w:rPr>
        <w:t>L</w:t>
      </w:r>
      <w:r w:rsidR="0000767B" w:rsidRPr="004631BF">
        <w:rPr>
          <w:color w:val="000000" w:themeColor="text1"/>
        </w:rPr>
        <w:t>ine cases</w:t>
      </w:r>
      <w:r w:rsidRPr="004631BF">
        <w:rPr>
          <w:color w:val="000000" w:themeColor="text1"/>
        </w:rPr>
        <w:t>,</w:t>
      </w:r>
      <w:r w:rsidR="0000767B" w:rsidRPr="004631BF">
        <w:rPr>
          <w:color w:val="000000" w:themeColor="text1"/>
        </w:rPr>
        <w:t xml:space="preserve"> </w:t>
      </w:r>
      <w:r w:rsidRPr="004631BF">
        <w:rPr>
          <w:color w:val="000000" w:themeColor="text1"/>
        </w:rPr>
        <w:t xml:space="preserve">was </w:t>
      </w:r>
      <w:r w:rsidR="0000767B" w:rsidRPr="004631BF">
        <w:rPr>
          <w:color w:val="000000" w:themeColor="text1"/>
        </w:rPr>
        <w:t xml:space="preserve">often limited to local or university newspapers, and generally only </w:t>
      </w:r>
      <w:r w:rsidRPr="004631BF">
        <w:rPr>
          <w:color w:val="000000" w:themeColor="text1"/>
        </w:rPr>
        <w:t xml:space="preserve">appeared </w:t>
      </w:r>
      <w:r w:rsidR="0000767B" w:rsidRPr="004631BF">
        <w:rPr>
          <w:color w:val="000000" w:themeColor="text1"/>
        </w:rPr>
        <w:t>at the point at which the controversy peak</w:t>
      </w:r>
      <w:r w:rsidRPr="004631BF">
        <w:rPr>
          <w:color w:val="000000" w:themeColor="text1"/>
        </w:rPr>
        <w:t>ed</w:t>
      </w:r>
      <w:r w:rsidR="0000767B" w:rsidRPr="004631BF">
        <w:rPr>
          <w:color w:val="000000" w:themeColor="text1"/>
        </w:rPr>
        <w:t xml:space="preserve">. Often, however, </w:t>
      </w:r>
      <w:r w:rsidRPr="004631BF">
        <w:rPr>
          <w:color w:val="000000" w:themeColor="text1"/>
        </w:rPr>
        <w:t xml:space="preserve">it was </w:t>
      </w:r>
      <w:r w:rsidR="0000767B" w:rsidRPr="004631BF">
        <w:rPr>
          <w:color w:val="000000" w:themeColor="text1"/>
        </w:rPr>
        <w:t>difficult to determine how the situation was ultimately resolved. Even if I c</w:t>
      </w:r>
      <w:r w:rsidRPr="004631BF">
        <w:rPr>
          <w:color w:val="000000" w:themeColor="text1"/>
        </w:rPr>
        <w:t>ould</w:t>
      </w:r>
      <w:r w:rsidR="0000767B" w:rsidRPr="004631BF">
        <w:rPr>
          <w:color w:val="000000" w:themeColor="text1"/>
        </w:rPr>
        <w:t xml:space="preserve"> verify that the instructor </w:t>
      </w:r>
      <w:r w:rsidRPr="004631BF">
        <w:rPr>
          <w:color w:val="000000" w:themeColor="text1"/>
        </w:rPr>
        <w:t>wa</w:t>
      </w:r>
      <w:r w:rsidR="0000767B" w:rsidRPr="004631BF">
        <w:rPr>
          <w:color w:val="000000" w:themeColor="text1"/>
        </w:rPr>
        <w:t xml:space="preserve">s still at the same institution, through departmental pages or university press releases, I often </w:t>
      </w:r>
      <w:r w:rsidR="007830F4" w:rsidRPr="004631BF">
        <w:rPr>
          <w:color w:val="000000" w:themeColor="text1"/>
        </w:rPr>
        <w:t>couldn’t</w:t>
      </w:r>
      <w:r w:rsidR="0000767B" w:rsidRPr="004631BF">
        <w:rPr>
          <w:color w:val="000000" w:themeColor="text1"/>
        </w:rPr>
        <w:t xml:space="preserve"> tell if there were other punitive actions taken. If </w:t>
      </w:r>
      <w:r w:rsidRPr="004631BF">
        <w:rPr>
          <w:color w:val="000000" w:themeColor="text1"/>
        </w:rPr>
        <w:t>the faculty member, by contrast, had</w:t>
      </w:r>
      <w:r w:rsidR="0000767B" w:rsidRPr="004631BF">
        <w:rPr>
          <w:color w:val="000000" w:themeColor="text1"/>
        </w:rPr>
        <w:t xml:space="preserve"> resigned or retired or moved to a  new institution, </w:t>
      </w:r>
      <w:r w:rsidRPr="004631BF">
        <w:rPr>
          <w:color w:val="000000" w:themeColor="text1"/>
        </w:rPr>
        <w:t xml:space="preserve">it was </w:t>
      </w:r>
      <w:r w:rsidR="0000767B" w:rsidRPr="004631BF">
        <w:rPr>
          <w:color w:val="000000" w:themeColor="text1"/>
        </w:rPr>
        <w:t xml:space="preserve">often impossible to determine if this was done under duress. </w:t>
      </w:r>
    </w:p>
    <w:p w14:paraId="23C021CA" w14:textId="77777777" w:rsidR="006D55BD" w:rsidRPr="004631BF" w:rsidRDefault="006D55BD" w:rsidP="0020093E">
      <w:pPr>
        <w:pStyle w:val="Heading2"/>
        <w:spacing w:before="120" w:after="120" w:line="480" w:lineRule="auto"/>
        <w:rPr>
          <w:color w:val="000000" w:themeColor="text1"/>
        </w:rPr>
      </w:pPr>
    </w:p>
    <w:p w14:paraId="617A3194" w14:textId="1E332918" w:rsidR="003A2A2B" w:rsidRPr="004631BF" w:rsidRDefault="0000767B" w:rsidP="0020093E">
      <w:pPr>
        <w:pStyle w:val="Heading2"/>
        <w:spacing w:before="120" w:after="120" w:line="480" w:lineRule="auto"/>
        <w:rPr>
          <w:color w:val="000000" w:themeColor="text1"/>
        </w:rPr>
      </w:pPr>
      <w:r w:rsidRPr="004631BF">
        <w:rPr>
          <w:color w:val="000000" w:themeColor="text1"/>
        </w:rPr>
        <w:t xml:space="preserve">Choice of </w:t>
      </w:r>
      <w:r w:rsidR="001D7E87" w:rsidRPr="004631BF">
        <w:rPr>
          <w:color w:val="000000" w:themeColor="text1"/>
        </w:rPr>
        <w:t xml:space="preserve">My </w:t>
      </w:r>
      <w:r w:rsidRPr="004631BF">
        <w:rPr>
          <w:color w:val="000000" w:themeColor="text1"/>
        </w:rPr>
        <w:t xml:space="preserve">Representative </w:t>
      </w:r>
      <w:r w:rsidR="0093081F" w:rsidRPr="004631BF">
        <w:rPr>
          <w:color w:val="000000" w:themeColor="text1"/>
        </w:rPr>
        <w:t>Fifty</w:t>
      </w:r>
      <w:r w:rsidR="001D7E87" w:rsidRPr="004631BF">
        <w:rPr>
          <w:color w:val="000000" w:themeColor="text1"/>
        </w:rPr>
        <w:t xml:space="preserve"> </w:t>
      </w:r>
      <w:r w:rsidRPr="004631BF">
        <w:rPr>
          <w:color w:val="000000" w:themeColor="text1"/>
        </w:rPr>
        <w:t>Cases:</w:t>
      </w:r>
    </w:p>
    <w:p w14:paraId="1810E5F3" w14:textId="3DB4840E" w:rsidR="00006A41" w:rsidRPr="004631BF" w:rsidRDefault="006D55BD" w:rsidP="0020093E">
      <w:pPr>
        <w:spacing w:before="120" w:after="120" w:line="480" w:lineRule="auto"/>
        <w:rPr>
          <w:color w:val="000000" w:themeColor="text1"/>
        </w:rPr>
      </w:pPr>
      <w:r w:rsidRPr="004631BF">
        <w:rPr>
          <w:color w:val="000000" w:themeColor="text1"/>
        </w:rPr>
        <w:tab/>
        <w:t>I h</w:t>
      </w:r>
      <w:r w:rsidR="00006A41" w:rsidRPr="004631BF">
        <w:rPr>
          <w:color w:val="000000" w:themeColor="text1"/>
        </w:rPr>
        <w:t>ad to make some difficult calls in terms of what I was including and excluding</w:t>
      </w:r>
      <w:r w:rsidR="001D7E87" w:rsidRPr="004631BF">
        <w:rPr>
          <w:color w:val="000000" w:themeColor="text1"/>
        </w:rPr>
        <w:t xml:space="preserve">. I tried to focus on </w:t>
      </w:r>
      <w:r w:rsidR="00006A41" w:rsidRPr="004631BF">
        <w:rPr>
          <w:color w:val="000000" w:themeColor="text1"/>
        </w:rPr>
        <w:t xml:space="preserve">words, </w:t>
      </w:r>
      <w:r w:rsidR="001D7E87" w:rsidRPr="004631BF">
        <w:rPr>
          <w:color w:val="000000" w:themeColor="text1"/>
        </w:rPr>
        <w:t>rather</w:t>
      </w:r>
      <w:r w:rsidR="00006A41" w:rsidRPr="004631BF">
        <w:rPr>
          <w:color w:val="000000" w:themeColor="text1"/>
        </w:rPr>
        <w:t xml:space="preserve"> actions</w:t>
      </w:r>
      <w:r w:rsidR="001D7E87" w:rsidRPr="004631BF">
        <w:rPr>
          <w:color w:val="000000" w:themeColor="text1"/>
        </w:rPr>
        <w:t xml:space="preserve">—excluding, for example, the </w:t>
      </w:r>
      <w:r w:rsidR="00966D76" w:rsidRPr="004631BF">
        <w:rPr>
          <w:color w:val="000000" w:themeColor="text1"/>
        </w:rPr>
        <w:t xml:space="preserve">case of the </w:t>
      </w:r>
      <w:r w:rsidR="00006A41" w:rsidRPr="004631BF">
        <w:rPr>
          <w:color w:val="000000" w:themeColor="text1"/>
        </w:rPr>
        <w:t xml:space="preserve">adjunct professor who </w:t>
      </w:r>
      <w:r w:rsidR="001D7E87" w:rsidRPr="004631BF">
        <w:rPr>
          <w:color w:val="000000" w:themeColor="text1"/>
        </w:rPr>
        <w:t xml:space="preserve">physically </w:t>
      </w:r>
      <w:r w:rsidR="00006A41" w:rsidRPr="004631BF">
        <w:rPr>
          <w:color w:val="000000" w:themeColor="text1"/>
        </w:rPr>
        <w:t>pushed a student journalist at a protest</w:t>
      </w:r>
      <w:r w:rsidR="00966D76" w:rsidRPr="004631BF">
        <w:rPr>
          <w:color w:val="000000" w:themeColor="text1"/>
        </w:rPr>
        <w:t>, and tried to concentrate on cases where I believed a serious intellectual debate had provoked the controversy, rather than an ill-timed joke</w:t>
      </w:r>
      <w:r w:rsidR="00006A41" w:rsidRPr="004631BF">
        <w:rPr>
          <w:color w:val="000000" w:themeColor="text1"/>
        </w:rPr>
        <w:t>. I</w:t>
      </w:r>
      <w:r w:rsidRPr="004631BF">
        <w:rPr>
          <w:color w:val="000000" w:themeColor="text1"/>
        </w:rPr>
        <w:t xml:space="preserve"> </w:t>
      </w:r>
      <w:r w:rsidR="00966D76" w:rsidRPr="004631BF">
        <w:rPr>
          <w:color w:val="000000" w:themeColor="text1"/>
        </w:rPr>
        <w:t xml:space="preserve">was </w:t>
      </w:r>
      <w:r w:rsidRPr="004631BF">
        <w:rPr>
          <w:color w:val="000000" w:themeColor="text1"/>
        </w:rPr>
        <w:t>i</w:t>
      </w:r>
      <w:r w:rsidR="00006A41" w:rsidRPr="004631BF">
        <w:rPr>
          <w:color w:val="000000" w:themeColor="text1"/>
        </w:rPr>
        <w:t xml:space="preserve">nitially </w:t>
      </w:r>
      <w:r w:rsidR="00966D76" w:rsidRPr="004631BF">
        <w:rPr>
          <w:color w:val="000000" w:themeColor="text1"/>
        </w:rPr>
        <w:t xml:space="preserve">also </w:t>
      </w:r>
      <w:r w:rsidR="00006A41" w:rsidRPr="004631BF">
        <w:rPr>
          <w:color w:val="000000" w:themeColor="text1"/>
        </w:rPr>
        <w:t xml:space="preserve">looking for situations resulting in university sanction or dismissal, but midway through </w:t>
      </w:r>
      <w:r w:rsidRPr="004631BF">
        <w:rPr>
          <w:color w:val="000000" w:themeColor="text1"/>
        </w:rPr>
        <w:t xml:space="preserve">my research, I </w:t>
      </w:r>
      <w:r w:rsidR="00006A41" w:rsidRPr="004631BF">
        <w:rPr>
          <w:color w:val="000000" w:themeColor="text1"/>
        </w:rPr>
        <w:t xml:space="preserve">realized the true chilling power that cyber-bullying and </w:t>
      </w:r>
      <w:r w:rsidR="00966D76" w:rsidRPr="004631BF">
        <w:rPr>
          <w:color w:val="000000" w:themeColor="text1"/>
        </w:rPr>
        <w:t>“</w:t>
      </w:r>
      <w:r w:rsidR="00006A41" w:rsidRPr="004631BF">
        <w:rPr>
          <w:color w:val="000000" w:themeColor="text1"/>
        </w:rPr>
        <w:t>troll mobs</w:t>
      </w:r>
      <w:r w:rsidR="00966D76" w:rsidRPr="004631BF">
        <w:rPr>
          <w:color w:val="000000" w:themeColor="text1"/>
        </w:rPr>
        <w:t>”</w:t>
      </w:r>
      <w:r w:rsidR="00006A41" w:rsidRPr="004631BF">
        <w:rPr>
          <w:color w:val="000000" w:themeColor="text1"/>
        </w:rPr>
        <w:t xml:space="preserve"> could have on academic debate—</w:t>
      </w:r>
      <w:r w:rsidRPr="004631BF">
        <w:rPr>
          <w:color w:val="000000" w:themeColor="text1"/>
        </w:rPr>
        <w:t xml:space="preserve">this issue is </w:t>
      </w:r>
      <w:r w:rsidR="00006A41" w:rsidRPr="004631BF">
        <w:rPr>
          <w:color w:val="000000" w:themeColor="text1"/>
        </w:rPr>
        <w:t xml:space="preserve">much fuzzier, but I felt it also needed to be included. </w:t>
      </w:r>
    </w:p>
    <w:p w14:paraId="67284E19" w14:textId="7894D63D" w:rsidR="00006A41" w:rsidRPr="004631BF" w:rsidRDefault="0020093E" w:rsidP="0020093E">
      <w:pPr>
        <w:spacing w:before="120" w:after="120" w:line="480" w:lineRule="auto"/>
        <w:rPr>
          <w:color w:val="000000" w:themeColor="text1"/>
        </w:rPr>
      </w:pPr>
      <w:r w:rsidRPr="004631BF">
        <w:rPr>
          <w:color w:val="000000" w:themeColor="text1"/>
        </w:rPr>
        <w:lastRenderedPageBreak/>
        <w:tab/>
      </w:r>
      <w:r w:rsidR="006D55BD" w:rsidRPr="004631BF">
        <w:rPr>
          <w:color w:val="000000" w:themeColor="text1"/>
        </w:rPr>
        <w:t xml:space="preserve">The difficulty finding a lot of this information, I think, is reflected in the odd formatting of this report, with </w:t>
      </w:r>
      <w:r w:rsidR="00006A41" w:rsidRPr="004631BF">
        <w:rPr>
          <w:color w:val="000000" w:themeColor="text1"/>
        </w:rPr>
        <w:t>footnotes longer than the entries</w:t>
      </w:r>
      <w:r w:rsidR="00966D76" w:rsidRPr="004631BF">
        <w:rPr>
          <w:color w:val="000000" w:themeColor="text1"/>
        </w:rPr>
        <w:t>. W</w:t>
      </w:r>
      <w:r w:rsidR="00006A41" w:rsidRPr="004631BF">
        <w:rPr>
          <w:color w:val="000000" w:themeColor="text1"/>
        </w:rPr>
        <w:t xml:space="preserve">hen I started this project, I naively thought that this information would be neatly compiled somewhere, but it’s not. </w:t>
      </w:r>
      <w:r w:rsidR="00991C80" w:rsidRPr="004631BF">
        <w:rPr>
          <w:color w:val="000000" w:themeColor="text1"/>
        </w:rPr>
        <w:t xml:space="preserve">Certain left-leaning publications keep lists of incidents involving left-leaning faculty, while more right-leaning presses </w:t>
      </w:r>
      <w:r w:rsidR="006D55BD" w:rsidRPr="004631BF">
        <w:rPr>
          <w:color w:val="000000" w:themeColor="text1"/>
        </w:rPr>
        <w:t xml:space="preserve">like the </w:t>
      </w:r>
      <w:r w:rsidR="006D55BD" w:rsidRPr="004631BF">
        <w:rPr>
          <w:i/>
          <w:iCs/>
          <w:color w:val="000000" w:themeColor="text1"/>
        </w:rPr>
        <w:t>Wall Street Journal</w:t>
      </w:r>
      <w:r w:rsidR="006D55BD" w:rsidRPr="004631BF">
        <w:rPr>
          <w:color w:val="000000" w:themeColor="text1"/>
        </w:rPr>
        <w:t xml:space="preserve"> and the</w:t>
      </w:r>
      <w:r w:rsidR="006D55BD" w:rsidRPr="004631BF">
        <w:rPr>
          <w:i/>
          <w:iCs/>
          <w:color w:val="000000" w:themeColor="text1"/>
        </w:rPr>
        <w:t xml:space="preserve"> James Martin Center </w:t>
      </w:r>
      <w:r w:rsidR="00991C80" w:rsidRPr="004631BF">
        <w:rPr>
          <w:color w:val="000000" w:themeColor="text1"/>
        </w:rPr>
        <w:t>collect evidence of the alleged harassment of conservative faculty</w:t>
      </w:r>
      <w:r w:rsidR="006D55BD" w:rsidRPr="004631BF">
        <w:rPr>
          <w:color w:val="000000" w:themeColor="text1"/>
        </w:rPr>
        <w:t xml:space="preserve">. </w:t>
      </w:r>
      <w:r w:rsidR="00991C80" w:rsidRPr="004631BF">
        <w:rPr>
          <w:color w:val="000000" w:themeColor="text1"/>
        </w:rPr>
        <w:t xml:space="preserve">The </w:t>
      </w:r>
      <w:r w:rsidR="00006A41" w:rsidRPr="004631BF">
        <w:rPr>
          <w:color w:val="000000" w:themeColor="text1"/>
        </w:rPr>
        <w:t xml:space="preserve">AAUP keeps </w:t>
      </w:r>
      <w:r w:rsidR="006D55BD" w:rsidRPr="004631BF">
        <w:rPr>
          <w:color w:val="000000" w:themeColor="text1"/>
        </w:rPr>
        <w:t>their</w:t>
      </w:r>
      <w:r w:rsidR="00006A41" w:rsidRPr="004631BF">
        <w:rPr>
          <w:color w:val="000000" w:themeColor="text1"/>
        </w:rPr>
        <w:t xml:space="preserve"> Censure </w:t>
      </w:r>
      <w:r w:rsidR="006D55BD" w:rsidRPr="004631BF">
        <w:rPr>
          <w:color w:val="000000" w:themeColor="text1"/>
        </w:rPr>
        <w:t>L</w:t>
      </w:r>
      <w:r w:rsidR="00006A41" w:rsidRPr="004631BF">
        <w:rPr>
          <w:color w:val="000000" w:themeColor="text1"/>
        </w:rPr>
        <w:t>ist</w:t>
      </w:r>
      <w:r w:rsidR="00966D76" w:rsidRPr="004631BF">
        <w:rPr>
          <w:color w:val="000000" w:themeColor="text1"/>
        </w:rPr>
        <w:t>s,</w:t>
      </w:r>
      <w:r w:rsidR="00006A41" w:rsidRPr="004631BF">
        <w:rPr>
          <w:color w:val="000000" w:themeColor="text1"/>
        </w:rPr>
        <w:t xml:space="preserve"> </w:t>
      </w:r>
      <w:r w:rsidR="00991C80" w:rsidRPr="004631BF">
        <w:rPr>
          <w:color w:val="000000" w:themeColor="text1"/>
        </w:rPr>
        <w:t xml:space="preserve">and FIRE has lists as well, </w:t>
      </w:r>
      <w:r w:rsidR="00966D76" w:rsidRPr="004631BF">
        <w:rPr>
          <w:color w:val="000000" w:themeColor="text1"/>
        </w:rPr>
        <w:t xml:space="preserve">notably of the “Worst Universities” of each year, </w:t>
      </w:r>
      <w:r w:rsidR="00006A41" w:rsidRPr="004631BF">
        <w:rPr>
          <w:color w:val="000000" w:themeColor="text1"/>
        </w:rPr>
        <w:t xml:space="preserve">but </w:t>
      </w:r>
      <w:r w:rsidR="00D80327" w:rsidRPr="004631BF">
        <w:rPr>
          <w:color w:val="000000" w:themeColor="text1"/>
        </w:rPr>
        <w:t xml:space="preserve">until recently, </w:t>
      </w:r>
      <w:r w:rsidR="00006A41" w:rsidRPr="004631BF">
        <w:rPr>
          <w:color w:val="000000" w:themeColor="text1"/>
        </w:rPr>
        <w:t xml:space="preserve">most incidents involving NLF </w:t>
      </w:r>
      <w:r w:rsidR="006D55BD" w:rsidRPr="004631BF">
        <w:rPr>
          <w:color w:val="000000" w:themeColor="text1"/>
        </w:rPr>
        <w:t>weren’t collected</w:t>
      </w:r>
      <w:r w:rsidR="00966D76" w:rsidRPr="004631BF">
        <w:rPr>
          <w:color w:val="000000" w:themeColor="text1"/>
        </w:rPr>
        <w:t>.</w:t>
      </w:r>
      <w:r w:rsidR="00006A41" w:rsidRPr="004631BF">
        <w:rPr>
          <w:color w:val="000000" w:themeColor="text1"/>
        </w:rPr>
        <w:t xml:space="preserve"> </w:t>
      </w:r>
      <w:r w:rsidR="00966D76" w:rsidRPr="004631BF">
        <w:rPr>
          <w:color w:val="000000" w:themeColor="text1"/>
        </w:rPr>
        <w:t>D</w:t>
      </w:r>
      <w:r w:rsidR="006D55BD" w:rsidRPr="004631BF">
        <w:rPr>
          <w:color w:val="000000" w:themeColor="text1"/>
        </w:rPr>
        <w:t xml:space="preserve">ue to the precarious nature of </w:t>
      </w:r>
      <w:r w:rsidR="00966D76" w:rsidRPr="004631BF">
        <w:rPr>
          <w:color w:val="000000" w:themeColor="text1"/>
        </w:rPr>
        <w:t>N</w:t>
      </w:r>
      <w:r w:rsidR="006D55BD" w:rsidRPr="004631BF">
        <w:rPr>
          <w:color w:val="000000" w:themeColor="text1"/>
        </w:rPr>
        <w:t xml:space="preserve">ontenure </w:t>
      </w:r>
      <w:r w:rsidR="00966D76" w:rsidRPr="004631BF">
        <w:rPr>
          <w:color w:val="000000" w:themeColor="text1"/>
        </w:rPr>
        <w:t>L</w:t>
      </w:r>
      <w:r w:rsidR="006D55BD" w:rsidRPr="004631BF">
        <w:rPr>
          <w:color w:val="000000" w:themeColor="text1"/>
        </w:rPr>
        <w:t>ine employment, a university could easily non-renew any faculty who caused controversy</w:t>
      </w:r>
      <w:r w:rsidR="00966D76" w:rsidRPr="004631BF">
        <w:rPr>
          <w:color w:val="000000" w:themeColor="text1"/>
        </w:rPr>
        <w:t>, and i</w:t>
      </w:r>
      <w:r w:rsidR="00006A41" w:rsidRPr="004631BF">
        <w:rPr>
          <w:color w:val="000000" w:themeColor="text1"/>
        </w:rPr>
        <w:t>t was</w:t>
      </w:r>
      <w:r w:rsidR="00966D76" w:rsidRPr="004631BF">
        <w:rPr>
          <w:color w:val="000000" w:themeColor="text1"/>
        </w:rPr>
        <w:t xml:space="preserve"> often</w:t>
      </w:r>
      <w:r w:rsidR="00006A41" w:rsidRPr="004631BF">
        <w:rPr>
          <w:color w:val="000000" w:themeColor="text1"/>
        </w:rPr>
        <w:t xml:space="preserve"> impossible </w:t>
      </w:r>
      <w:r w:rsidR="00966D76" w:rsidRPr="004631BF">
        <w:rPr>
          <w:color w:val="000000" w:themeColor="text1"/>
        </w:rPr>
        <w:t xml:space="preserve">for AAUP or FIRE </w:t>
      </w:r>
      <w:r w:rsidR="00006A41" w:rsidRPr="004631BF">
        <w:rPr>
          <w:color w:val="000000" w:themeColor="text1"/>
        </w:rPr>
        <w:t>to prove</w:t>
      </w:r>
      <w:r w:rsidR="006D55BD" w:rsidRPr="004631BF">
        <w:rPr>
          <w:color w:val="000000" w:themeColor="text1"/>
        </w:rPr>
        <w:t xml:space="preserve"> that the non-renewal was in fact related to a particular controversy</w:t>
      </w:r>
      <w:r w:rsidR="00006A41" w:rsidRPr="004631BF">
        <w:rPr>
          <w:color w:val="000000" w:themeColor="text1"/>
        </w:rPr>
        <w:t>, unless the faculty member had been summarily dismissed mi</w:t>
      </w:r>
      <w:r w:rsidR="00D80327" w:rsidRPr="004631BF">
        <w:rPr>
          <w:color w:val="000000" w:themeColor="text1"/>
        </w:rPr>
        <w:t>d</w:t>
      </w:r>
      <w:r w:rsidR="00006A41" w:rsidRPr="004631BF">
        <w:rPr>
          <w:color w:val="000000" w:themeColor="text1"/>
        </w:rPr>
        <w:t xml:space="preserve">-semester. </w:t>
      </w:r>
    </w:p>
    <w:p w14:paraId="7CBDCB3A" w14:textId="6F26F5BE" w:rsidR="00991C80" w:rsidRPr="004631BF" w:rsidRDefault="006D55BD" w:rsidP="0020093E">
      <w:pPr>
        <w:spacing w:before="120" w:after="120" w:line="480" w:lineRule="auto"/>
        <w:rPr>
          <w:color w:val="000000" w:themeColor="text1"/>
        </w:rPr>
      </w:pPr>
      <w:r w:rsidRPr="004631BF">
        <w:rPr>
          <w:color w:val="000000" w:themeColor="text1"/>
        </w:rPr>
        <w:tab/>
        <w:t>The w</w:t>
      </w:r>
      <w:r w:rsidR="00991C80" w:rsidRPr="004631BF">
        <w:rPr>
          <w:color w:val="000000" w:themeColor="text1"/>
        </w:rPr>
        <w:t>eirdest</w:t>
      </w:r>
      <w:r w:rsidRPr="004631BF">
        <w:rPr>
          <w:color w:val="000000" w:themeColor="text1"/>
        </w:rPr>
        <w:t xml:space="preserve">, but </w:t>
      </w:r>
      <w:r w:rsidR="00966D76" w:rsidRPr="004631BF">
        <w:rPr>
          <w:color w:val="000000" w:themeColor="text1"/>
        </w:rPr>
        <w:t xml:space="preserve">also </w:t>
      </w:r>
      <w:r w:rsidRPr="004631BF">
        <w:rPr>
          <w:color w:val="000000" w:themeColor="text1"/>
        </w:rPr>
        <w:t>often most fruitful</w:t>
      </w:r>
      <w:r w:rsidR="00991C80" w:rsidRPr="004631BF">
        <w:rPr>
          <w:color w:val="000000" w:themeColor="text1"/>
        </w:rPr>
        <w:t xml:space="preserve"> aspect of my research</w:t>
      </w:r>
      <w:r w:rsidRPr="004631BF">
        <w:rPr>
          <w:color w:val="000000" w:themeColor="text1"/>
        </w:rPr>
        <w:t xml:space="preserve"> was spending entirely</w:t>
      </w:r>
      <w:r w:rsidR="00991C80" w:rsidRPr="004631BF">
        <w:rPr>
          <w:color w:val="000000" w:themeColor="text1"/>
        </w:rPr>
        <w:t xml:space="preserve"> too much time on </w:t>
      </w:r>
      <w:r w:rsidRPr="004631BF">
        <w:rPr>
          <w:color w:val="000000" w:themeColor="text1"/>
        </w:rPr>
        <w:t>some very dubious</w:t>
      </w:r>
      <w:r w:rsidR="00991C80" w:rsidRPr="004631BF">
        <w:rPr>
          <w:color w:val="000000" w:themeColor="text1"/>
        </w:rPr>
        <w:t xml:space="preserve"> “gotcha” or </w:t>
      </w:r>
      <w:r w:rsidR="00966D76" w:rsidRPr="004631BF">
        <w:rPr>
          <w:color w:val="000000" w:themeColor="text1"/>
        </w:rPr>
        <w:t>“</w:t>
      </w:r>
      <w:r w:rsidR="00991C80" w:rsidRPr="004631BF">
        <w:rPr>
          <w:color w:val="000000" w:themeColor="text1"/>
        </w:rPr>
        <w:t>provocateur press</w:t>
      </w:r>
      <w:r w:rsidR="00966D76" w:rsidRPr="004631BF">
        <w:rPr>
          <w:color w:val="000000" w:themeColor="text1"/>
        </w:rPr>
        <w:t>es”</w:t>
      </w:r>
      <w:r w:rsidR="00991C80" w:rsidRPr="004631BF">
        <w:rPr>
          <w:color w:val="000000" w:themeColor="text1"/>
        </w:rPr>
        <w:t xml:space="preserve">—looking at the cases they were attempting to highlight, and then searching for names of faculty, institutions and key phrases to see if </w:t>
      </w:r>
      <w:r w:rsidR="0093081F" w:rsidRPr="004631BF">
        <w:rPr>
          <w:color w:val="000000" w:themeColor="text1"/>
        </w:rPr>
        <w:t>they succeeded in provoking a “tweetstorm.”</w:t>
      </w:r>
      <w:r w:rsidR="00991C80" w:rsidRPr="004631BF">
        <w:rPr>
          <w:color w:val="000000" w:themeColor="text1"/>
        </w:rPr>
        <w:t xml:space="preserve"> </w:t>
      </w:r>
      <w:r w:rsidR="00966D76" w:rsidRPr="004631BF">
        <w:rPr>
          <w:color w:val="000000" w:themeColor="text1"/>
        </w:rPr>
        <w:t>One notable advantage here: when these presses succeed in getting someone “fired,” they are not shy about trumpeting it—I then need to confirm the particulars of the case, as they were often not quite accurately portrayed in my initial sources.</w:t>
      </w:r>
    </w:p>
    <w:p w14:paraId="310153F7" w14:textId="77777777" w:rsidR="0020093E" w:rsidRPr="004631BF" w:rsidRDefault="0020093E" w:rsidP="0020093E">
      <w:pPr>
        <w:pStyle w:val="Heading2"/>
        <w:spacing w:before="120" w:after="120" w:line="480" w:lineRule="auto"/>
        <w:rPr>
          <w:color w:val="000000" w:themeColor="text1"/>
        </w:rPr>
      </w:pPr>
    </w:p>
    <w:p w14:paraId="0EE51FB8" w14:textId="0D2073A6" w:rsidR="00E010F0" w:rsidRPr="004631BF" w:rsidRDefault="006D55BD" w:rsidP="0020093E">
      <w:pPr>
        <w:pStyle w:val="Heading2"/>
        <w:spacing w:before="120" w:after="120" w:line="480" w:lineRule="auto"/>
        <w:rPr>
          <w:color w:val="000000" w:themeColor="text1"/>
        </w:rPr>
      </w:pPr>
      <w:r w:rsidRPr="004631BF">
        <w:rPr>
          <w:color w:val="000000" w:themeColor="text1"/>
        </w:rPr>
        <w:t>Conclusions:</w:t>
      </w:r>
    </w:p>
    <w:p w14:paraId="0067A73D" w14:textId="1C158880" w:rsidR="00470E28" w:rsidRPr="004631BF" w:rsidRDefault="0020093E" w:rsidP="0020093E">
      <w:pPr>
        <w:spacing w:before="120" w:after="120" w:line="480" w:lineRule="auto"/>
        <w:rPr>
          <w:color w:val="000000" w:themeColor="text1"/>
        </w:rPr>
      </w:pPr>
      <w:r w:rsidRPr="004631BF">
        <w:rPr>
          <w:color w:val="000000" w:themeColor="text1"/>
        </w:rPr>
        <w:tab/>
      </w:r>
      <w:r w:rsidR="00990DCD" w:rsidRPr="004631BF">
        <w:rPr>
          <w:color w:val="000000" w:themeColor="text1"/>
        </w:rPr>
        <w:t xml:space="preserve">While </w:t>
      </w:r>
      <w:r w:rsidR="006D55BD" w:rsidRPr="004631BF">
        <w:rPr>
          <w:color w:val="000000" w:themeColor="text1"/>
        </w:rPr>
        <w:t>it is clear that t</w:t>
      </w:r>
      <w:r w:rsidR="00990DCD" w:rsidRPr="004631BF">
        <w:rPr>
          <w:color w:val="000000" w:themeColor="text1"/>
        </w:rPr>
        <w:t xml:space="preserve">he </w:t>
      </w:r>
      <w:r w:rsidR="006D55BD" w:rsidRPr="004631BF">
        <w:rPr>
          <w:color w:val="000000" w:themeColor="text1"/>
        </w:rPr>
        <w:t>r</w:t>
      </w:r>
      <w:r w:rsidR="00990DCD" w:rsidRPr="004631BF">
        <w:rPr>
          <w:color w:val="000000" w:themeColor="text1"/>
        </w:rPr>
        <w:t>ight-wing</w:t>
      </w:r>
      <w:r w:rsidR="00CC7148" w:rsidRPr="004631BF">
        <w:rPr>
          <w:color w:val="000000" w:themeColor="text1"/>
        </w:rPr>
        <w:t xml:space="preserve"> media dedicated to “exposing” radicalism in academic</w:t>
      </w:r>
      <w:r w:rsidR="00990DCD" w:rsidRPr="004631BF">
        <w:rPr>
          <w:color w:val="000000" w:themeColor="text1"/>
        </w:rPr>
        <w:t xml:space="preserve"> is far better funded and organized</w:t>
      </w:r>
      <w:r w:rsidR="00CC7148" w:rsidRPr="004631BF">
        <w:rPr>
          <w:color w:val="000000" w:themeColor="text1"/>
        </w:rPr>
        <w:t xml:space="preserve"> then more left-leaning media</w:t>
      </w:r>
      <w:r w:rsidR="00990DCD" w:rsidRPr="004631BF">
        <w:rPr>
          <w:color w:val="000000" w:themeColor="text1"/>
        </w:rPr>
        <w:t xml:space="preserve">, </w:t>
      </w:r>
      <w:r w:rsidR="006D55BD" w:rsidRPr="004631BF">
        <w:rPr>
          <w:color w:val="000000" w:themeColor="text1"/>
        </w:rPr>
        <w:t>I s</w:t>
      </w:r>
      <w:r w:rsidR="00990DCD" w:rsidRPr="004631BF">
        <w:rPr>
          <w:color w:val="000000" w:themeColor="text1"/>
        </w:rPr>
        <w:t xml:space="preserve">tand by my initial perception: </w:t>
      </w:r>
      <w:r w:rsidR="0093081F" w:rsidRPr="004631BF">
        <w:rPr>
          <w:color w:val="000000" w:themeColor="text1"/>
        </w:rPr>
        <w:t xml:space="preserve">the </w:t>
      </w:r>
      <w:r w:rsidR="000C66D3" w:rsidRPr="004631BF">
        <w:rPr>
          <w:color w:val="000000" w:themeColor="text1"/>
        </w:rPr>
        <w:t>anxiety prompted by</w:t>
      </w:r>
      <w:r w:rsidR="00CC7148" w:rsidRPr="004631BF">
        <w:rPr>
          <w:color w:val="000000" w:themeColor="text1"/>
        </w:rPr>
        <w:t xml:space="preserve"> increasing attacks on academic freedom is</w:t>
      </w:r>
      <w:r w:rsidR="00990DCD" w:rsidRPr="004631BF">
        <w:rPr>
          <w:color w:val="000000" w:themeColor="text1"/>
        </w:rPr>
        <w:t xml:space="preserve"> not </w:t>
      </w:r>
      <w:r w:rsidR="000C66D3" w:rsidRPr="004631BF">
        <w:rPr>
          <w:color w:val="000000" w:themeColor="text1"/>
        </w:rPr>
        <w:t xml:space="preserve">exclusively </w:t>
      </w:r>
      <w:r w:rsidR="00990DCD" w:rsidRPr="004631BF">
        <w:rPr>
          <w:color w:val="000000" w:themeColor="text1"/>
        </w:rPr>
        <w:t>a left-right issue</w:t>
      </w:r>
      <w:r w:rsidR="00CC7148" w:rsidRPr="004631BF">
        <w:rPr>
          <w:color w:val="000000" w:themeColor="text1"/>
        </w:rPr>
        <w:t>. A</w:t>
      </w:r>
      <w:r w:rsidR="00990DCD" w:rsidRPr="004631BF">
        <w:rPr>
          <w:color w:val="000000" w:themeColor="text1"/>
        </w:rPr>
        <w:t xml:space="preserve">s </w:t>
      </w:r>
      <w:r w:rsidR="00990DCD" w:rsidRPr="004631BF">
        <w:rPr>
          <w:color w:val="000000" w:themeColor="text1"/>
        </w:rPr>
        <w:lastRenderedPageBreak/>
        <w:t>faculty overall become more precarious</w:t>
      </w:r>
      <w:r w:rsidR="00CC7148" w:rsidRPr="004631BF">
        <w:rPr>
          <w:color w:val="000000" w:themeColor="text1"/>
        </w:rPr>
        <w:t>,</w:t>
      </w:r>
      <w:r w:rsidR="00990DCD" w:rsidRPr="004631BF">
        <w:rPr>
          <w:color w:val="000000" w:themeColor="text1"/>
        </w:rPr>
        <w:t xml:space="preserve"> and universities become more consumer-modeled, any controversial expression can be dangerous. University administrations don’t want unhappy students, </w:t>
      </w:r>
      <w:r w:rsidR="00990DCD" w:rsidRPr="004631BF">
        <w:rPr>
          <w:i/>
          <w:iCs/>
          <w:color w:val="000000" w:themeColor="text1"/>
        </w:rPr>
        <w:t xml:space="preserve">or </w:t>
      </w:r>
      <w:r w:rsidR="00990DCD" w:rsidRPr="004631BF">
        <w:rPr>
          <w:color w:val="000000" w:themeColor="text1"/>
        </w:rPr>
        <w:t>unhappy alumni</w:t>
      </w:r>
      <w:r w:rsidR="00966D76" w:rsidRPr="004631BF">
        <w:rPr>
          <w:color w:val="000000" w:themeColor="text1"/>
        </w:rPr>
        <w:t xml:space="preserve"> or state legislat</w:t>
      </w:r>
      <w:r w:rsidR="0093081F" w:rsidRPr="004631BF">
        <w:rPr>
          <w:color w:val="000000" w:themeColor="text1"/>
        </w:rPr>
        <w:t>ors</w:t>
      </w:r>
      <w:r w:rsidR="00966D76" w:rsidRPr="004631BF">
        <w:rPr>
          <w:color w:val="000000" w:themeColor="text1"/>
        </w:rPr>
        <w:t>.</w:t>
      </w:r>
      <w:r w:rsidR="00990DCD" w:rsidRPr="004631BF">
        <w:rPr>
          <w:color w:val="000000" w:themeColor="text1"/>
        </w:rPr>
        <w:t xml:space="preserve"> </w:t>
      </w:r>
      <w:r w:rsidR="00470E28" w:rsidRPr="004631BF">
        <w:rPr>
          <w:color w:val="000000" w:themeColor="text1"/>
        </w:rPr>
        <w:t xml:space="preserve">That being said, well-funded </w:t>
      </w:r>
      <w:r w:rsidR="0093081F" w:rsidRPr="004631BF">
        <w:rPr>
          <w:color w:val="000000" w:themeColor="text1"/>
        </w:rPr>
        <w:t xml:space="preserve">right-wing </w:t>
      </w:r>
      <w:r w:rsidR="00470E28" w:rsidRPr="004631BF">
        <w:rPr>
          <w:color w:val="000000" w:themeColor="text1"/>
        </w:rPr>
        <w:t xml:space="preserve">media such as </w:t>
      </w:r>
      <w:r w:rsidR="00470E28" w:rsidRPr="004631BF">
        <w:rPr>
          <w:i/>
          <w:iCs/>
          <w:color w:val="000000" w:themeColor="text1"/>
        </w:rPr>
        <w:t>Turning Point</w:t>
      </w:r>
      <w:r w:rsidR="00470E28" w:rsidRPr="004631BF">
        <w:rPr>
          <w:color w:val="000000" w:themeColor="text1"/>
        </w:rPr>
        <w:t xml:space="preserve"> are </w:t>
      </w:r>
      <w:r w:rsidR="00CC7148" w:rsidRPr="004631BF">
        <w:rPr>
          <w:color w:val="000000" w:themeColor="text1"/>
        </w:rPr>
        <w:t xml:space="preserve">still </w:t>
      </w:r>
      <w:r w:rsidR="00470E28" w:rsidRPr="004631BF">
        <w:rPr>
          <w:color w:val="000000" w:themeColor="text1"/>
        </w:rPr>
        <w:t xml:space="preserve">a </w:t>
      </w:r>
      <w:r w:rsidR="00CC7148" w:rsidRPr="004631BF">
        <w:rPr>
          <w:color w:val="000000" w:themeColor="text1"/>
        </w:rPr>
        <w:t xml:space="preserve">relatively </w:t>
      </w:r>
      <w:r w:rsidR="00470E28" w:rsidRPr="004631BF">
        <w:rPr>
          <w:color w:val="000000" w:themeColor="text1"/>
        </w:rPr>
        <w:t xml:space="preserve">new force in the landscape, and universities are still too often surprised at how easily </w:t>
      </w:r>
      <w:r w:rsidR="00E010F0" w:rsidRPr="004631BF">
        <w:rPr>
          <w:color w:val="000000" w:themeColor="text1"/>
        </w:rPr>
        <w:t>complicated and uncomfortable intellectual arguments can be turned into explosive “click bait” by outside agents with a vested interest in creating such explosions.</w:t>
      </w:r>
      <w:r w:rsidRPr="004631BF">
        <w:rPr>
          <w:rStyle w:val="FootnoteReference"/>
          <w:color w:val="000000" w:themeColor="text1"/>
        </w:rPr>
        <w:footnoteReference w:id="7"/>
      </w:r>
    </w:p>
    <w:p w14:paraId="5E55D38A" w14:textId="7B08DD0D" w:rsidR="006D55BD" w:rsidRPr="004631BF" w:rsidRDefault="0020093E" w:rsidP="0020093E">
      <w:pPr>
        <w:spacing w:before="120" w:after="120" w:line="480" w:lineRule="auto"/>
        <w:rPr>
          <w:color w:val="000000" w:themeColor="text1"/>
        </w:rPr>
      </w:pPr>
      <w:r w:rsidRPr="004631BF">
        <w:rPr>
          <w:color w:val="000000" w:themeColor="text1"/>
        </w:rPr>
        <w:tab/>
      </w:r>
      <w:r w:rsidR="006D55BD" w:rsidRPr="004631BF">
        <w:rPr>
          <w:color w:val="000000" w:themeColor="text1"/>
        </w:rPr>
        <w:t xml:space="preserve">While what faculty either said or wrote can be inadvertently misconstrued, increasingly controversies are drummed up by what </w:t>
      </w:r>
      <w:r w:rsidR="00966D76" w:rsidRPr="004631BF">
        <w:rPr>
          <w:color w:val="000000" w:themeColor="text1"/>
        </w:rPr>
        <w:t>are</w:t>
      </w:r>
      <w:r w:rsidR="006D55BD" w:rsidRPr="004631BF">
        <w:rPr>
          <w:color w:val="000000" w:themeColor="text1"/>
        </w:rPr>
        <w:t xml:space="preserve"> clearly deliberate misrepresentation</w:t>
      </w:r>
      <w:r w:rsidR="00966D76" w:rsidRPr="004631BF">
        <w:rPr>
          <w:color w:val="000000" w:themeColor="text1"/>
        </w:rPr>
        <w:t>s</w:t>
      </w:r>
      <w:r w:rsidR="006D55BD" w:rsidRPr="004631BF">
        <w:rPr>
          <w:color w:val="000000" w:themeColor="text1"/>
        </w:rPr>
        <w:t xml:space="preserve"> of faculty statements or views, such as in the controversy surrounding George </w:t>
      </w:r>
      <w:r w:rsidRPr="004631BF">
        <w:rPr>
          <w:color w:val="000000" w:themeColor="text1"/>
        </w:rPr>
        <w:t>Ciccariello-Maher</w:t>
      </w:r>
      <w:r w:rsidR="006D55BD" w:rsidRPr="004631BF">
        <w:rPr>
          <w:color w:val="000000" w:themeColor="text1"/>
        </w:rPr>
        <w:t xml:space="preserve">’s </w:t>
      </w:r>
      <w:r w:rsidR="003A2A2B" w:rsidRPr="004631BF">
        <w:rPr>
          <w:color w:val="000000" w:themeColor="text1"/>
        </w:rPr>
        <w:t xml:space="preserve">“white genocide for Christmas” </w:t>
      </w:r>
      <w:r w:rsidR="006D55BD" w:rsidRPr="004631BF">
        <w:rPr>
          <w:color w:val="000000" w:themeColor="text1"/>
        </w:rPr>
        <w:t>tweet</w:t>
      </w:r>
      <w:r w:rsidR="00966D76" w:rsidRPr="004631BF">
        <w:rPr>
          <w:color w:val="000000" w:themeColor="text1"/>
        </w:rPr>
        <w:t>s</w:t>
      </w:r>
      <w:r w:rsidR="006D55BD" w:rsidRPr="004631BF">
        <w:rPr>
          <w:color w:val="000000" w:themeColor="text1"/>
        </w:rPr>
        <w:t>—</w:t>
      </w:r>
      <w:r w:rsidR="00966D76" w:rsidRPr="004631BF">
        <w:rPr>
          <w:color w:val="000000" w:themeColor="text1"/>
        </w:rPr>
        <w:t xml:space="preserve">Dr. </w:t>
      </w:r>
      <w:r w:rsidR="006D55BD" w:rsidRPr="004631BF">
        <w:rPr>
          <w:color w:val="000000" w:themeColor="text1"/>
        </w:rPr>
        <w:t xml:space="preserve">Ciccariello-Maher was initially responding to white supremacist attacks on a State Farm Christmas commercial featuring an inter-racial couple; his reference to wanting </w:t>
      </w:r>
      <w:r w:rsidR="0093081F" w:rsidRPr="004631BF">
        <w:rPr>
          <w:color w:val="000000" w:themeColor="text1"/>
        </w:rPr>
        <w:t>“</w:t>
      </w:r>
      <w:r w:rsidR="006D55BD" w:rsidRPr="004631BF">
        <w:rPr>
          <w:color w:val="000000" w:themeColor="text1"/>
        </w:rPr>
        <w:t xml:space="preserve">white genocide for Christmas” was </w:t>
      </w:r>
      <w:r w:rsidR="00966D76" w:rsidRPr="004631BF">
        <w:rPr>
          <w:color w:val="000000" w:themeColor="text1"/>
        </w:rPr>
        <w:t xml:space="preserve">clearly </w:t>
      </w:r>
      <w:r w:rsidR="006D55BD" w:rsidRPr="004631BF">
        <w:rPr>
          <w:color w:val="000000" w:themeColor="text1"/>
        </w:rPr>
        <w:t xml:space="preserve">mocking their </w:t>
      </w:r>
      <w:r w:rsidRPr="004631BF">
        <w:rPr>
          <w:color w:val="000000" w:themeColor="text1"/>
        </w:rPr>
        <w:t xml:space="preserve">alarm about miscegenation destroying the “White </w:t>
      </w:r>
      <w:r w:rsidR="00966D76" w:rsidRPr="004631BF">
        <w:rPr>
          <w:color w:val="000000" w:themeColor="text1"/>
        </w:rPr>
        <w:t>R</w:t>
      </w:r>
      <w:r w:rsidRPr="004631BF">
        <w:rPr>
          <w:color w:val="000000" w:themeColor="text1"/>
        </w:rPr>
        <w:t xml:space="preserve">ace,” rather than encouraging </w:t>
      </w:r>
      <w:r w:rsidR="00966D76" w:rsidRPr="004631BF">
        <w:rPr>
          <w:color w:val="000000" w:themeColor="text1"/>
        </w:rPr>
        <w:t xml:space="preserve">the </w:t>
      </w:r>
      <w:r w:rsidRPr="004631BF">
        <w:rPr>
          <w:color w:val="000000" w:themeColor="text1"/>
        </w:rPr>
        <w:t>mass murder</w:t>
      </w:r>
      <w:r w:rsidR="00966D76" w:rsidRPr="004631BF">
        <w:rPr>
          <w:color w:val="000000" w:themeColor="text1"/>
        </w:rPr>
        <w:t xml:space="preserve"> of whites, as was implied</w:t>
      </w:r>
      <w:r w:rsidRPr="004631BF">
        <w:rPr>
          <w:color w:val="000000" w:themeColor="text1"/>
        </w:rPr>
        <w:t>.</w:t>
      </w:r>
      <w:r w:rsidRPr="004631BF">
        <w:rPr>
          <w:rStyle w:val="FootnoteReference"/>
          <w:color w:val="000000" w:themeColor="text1"/>
        </w:rPr>
        <w:footnoteReference w:id="8"/>
      </w:r>
    </w:p>
    <w:p w14:paraId="00AFF184" w14:textId="5AAEF53A" w:rsidR="00990DCD" w:rsidRPr="004631BF" w:rsidRDefault="0020093E" w:rsidP="0020093E">
      <w:pPr>
        <w:spacing w:before="120" w:after="120" w:line="480" w:lineRule="auto"/>
        <w:rPr>
          <w:color w:val="000000" w:themeColor="text1"/>
        </w:rPr>
      </w:pPr>
      <w:r w:rsidRPr="004631BF">
        <w:rPr>
          <w:color w:val="000000" w:themeColor="text1"/>
        </w:rPr>
        <w:tab/>
      </w:r>
      <w:r w:rsidR="00966D76" w:rsidRPr="004631BF">
        <w:rPr>
          <w:color w:val="000000" w:themeColor="text1"/>
        </w:rPr>
        <w:t>One</w:t>
      </w:r>
      <w:r w:rsidR="00990DCD" w:rsidRPr="004631BF">
        <w:rPr>
          <w:color w:val="000000" w:themeColor="text1"/>
        </w:rPr>
        <w:t xml:space="preserve"> initial assumption</w:t>
      </w:r>
      <w:r w:rsidRPr="004631BF">
        <w:rPr>
          <w:color w:val="000000" w:themeColor="text1"/>
        </w:rPr>
        <w:t xml:space="preserve"> I made when I began my research</w:t>
      </w:r>
      <w:r w:rsidR="00966D76" w:rsidRPr="004631BF">
        <w:rPr>
          <w:color w:val="000000" w:themeColor="text1"/>
        </w:rPr>
        <w:t xml:space="preserve"> </w:t>
      </w:r>
      <w:r w:rsidR="00990DCD" w:rsidRPr="004631BF">
        <w:rPr>
          <w:color w:val="000000" w:themeColor="text1"/>
        </w:rPr>
        <w:t xml:space="preserve">didn’t play out entirely as I expected: I went into the study fully expecting there to be a clear distinction between the treatment of NLF and </w:t>
      </w:r>
      <w:r w:rsidR="00966D76" w:rsidRPr="004631BF">
        <w:rPr>
          <w:color w:val="000000" w:themeColor="text1"/>
        </w:rPr>
        <w:t xml:space="preserve">of </w:t>
      </w:r>
      <w:r w:rsidR="00990DCD" w:rsidRPr="004631BF">
        <w:rPr>
          <w:color w:val="000000" w:themeColor="text1"/>
        </w:rPr>
        <w:t>tenured faculty. To some extent</w:t>
      </w:r>
      <w:r w:rsidR="00966D76" w:rsidRPr="004631BF">
        <w:rPr>
          <w:color w:val="000000" w:themeColor="text1"/>
        </w:rPr>
        <w:t>,</w:t>
      </w:r>
      <w:r w:rsidR="00990DCD" w:rsidRPr="004631BF">
        <w:rPr>
          <w:color w:val="000000" w:themeColor="text1"/>
        </w:rPr>
        <w:t xml:space="preserve"> that was the case</w:t>
      </w:r>
      <w:r w:rsidR="00470E28" w:rsidRPr="004631BF">
        <w:rPr>
          <w:color w:val="000000" w:themeColor="text1"/>
        </w:rPr>
        <w:t xml:space="preserve">—the answer to a controversy involving NLF in too many cases was a simple “he or she will not be teaching for us next </w:t>
      </w:r>
      <w:r w:rsidR="00470E28" w:rsidRPr="004631BF">
        <w:rPr>
          <w:color w:val="000000" w:themeColor="text1"/>
        </w:rPr>
        <w:lastRenderedPageBreak/>
        <w:t>semester.” But what surprised me w</w:t>
      </w:r>
      <w:r w:rsidR="00540D46" w:rsidRPr="004631BF">
        <w:rPr>
          <w:color w:val="000000" w:themeColor="text1"/>
        </w:rPr>
        <w:t>as</w:t>
      </w:r>
      <w:r w:rsidR="00470E28" w:rsidRPr="004631BF">
        <w:rPr>
          <w:color w:val="000000" w:themeColor="text1"/>
        </w:rPr>
        <w:t xml:space="preserve"> the extent to which tenure </w:t>
      </w:r>
      <w:r w:rsidR="00540D46" w:rsidRPr="004631BF">
        <w:rPr>
          <w:color w:val="000000" w:themeColor="text1"/>
        </w:rPr>
        <w:t>often did not</w:t>
      </w:r>
      <w:r w:rsidR="00470E28" w:rsidRPr="004631BF">
        <w:rPr>
          <w:color w:val="000000" w:themeColor="text1"/>
        </w:rPr>
        <w:t xml:space="preserve"> protect even full professors. Universities still seem to underestimate the speed and fury </w:t>
      </w:r>
      <w:r w:rsidR="00540D46" w:rsidRPr="004631BF">
        <w:rPr>
          <w:color w:val="000000" w:themeColor="text1"/>
        </w:rPr>
        <w:t xml:space="preserve">of the bad publicity </w:t>
      </w:r>
      <w:r w:rsidR="00470E28" w:rsidRPr="004631BF">
        <w:rPr>
          <w:color w:val="000000" w:themeColor="text1"/>
        </w:rPr>
        <w:t>that can suddenly descend on them in this age of social media</w:t>
      </w:r>
      <w:r w:rsidR="00966D76" w:rsidRPr="004631BF">
        <w:rPr>
          <w:color w:val="000000" w:themeColor="text1"/>
        </w:rPr>
        <w:t>, and often respond poorly to a sudden media storm.</w:t>
      </w:r>
      <w:r w:rsidR="00470E28" w:rsidRPr="004631BF">
        <w:rPr>
          <w:color w:val="000000" w:themeColor="text1"/>
        </w:rPr>
        <w:t xml:space="preserve"> </w:t>
      </w:r>
    </w:p>
    <w:p w14:paraId="6EA11BBF" w14:textId="00EBD3C1" w:rsidR="00470E28" w:rsidRPr="004631BF" w:rsidRDefault="0020093E" w:rsidP="0020093E">
      <w:pPr>
        <w:spacing w:before="120" w:after="120" w:line="480" w:lineRule="auto"/>
        <w:rPr>
          <w:color w:val="000000" w:themeColor="text1"/>
        </w:rPr>
      </w:pPr>
      <w:r w:rsidRPr="004631BF">
        <w:rPr>
          <w:color w:val="000000" w:themeColor="text1"/>
        </w:rPr>
        <w:tab/>
        <w:t xml:space="preserve">I also saw that university codes against </w:t>
      </w:r>
      <w:r w:rsidR="00470E28" w:rsidRPr="004631BF">
        <w:rPr>
          <w:color w:val="000000" w:themeColor="text1"/>
        </w:rPr>
        <w:t>“</w:t>
      </w:r>
      <w:r w:rsidRPr="004631BF">
        <w:rPr>
          <w:color w:val="000000" w:themeColor="text1"/>
        </w:rPr>
        <w:t>h</w:t>
      </w:r>
      <w:r w:rsidR="00470E28" w:rsidRPr="004631BF">
        <w:rPr>
          <w:color w:val="000000" w:themeColor="text1"/>
        </w:rPr>
        <w:t>ate speech</w:t>
      </w:r>
      <w:r w:rsidR="00D80327" w:rsidRPr="004631BF">
        <w:rPr>
          <w:color w:val="000000" w:themeColor="text1"/>
        </w:rPr>
        <w:t>,</w:t>
      </w:r>
      <w:r w:rsidR="00470E28" w:rsidRPr="004631BF">
        <w:rPr>
          <w:color w:val="000000" w:themeColor="text1"/>
        </w:rPr>
        <w:t xml:space="preserve">” however well-meant, </w:t>
      </w:r>
      <w:r w:rsidRPr="004631BF">
        <w:rPr>
          <w:color w:val="000000" w:themeColor="text1"/>
        </w:rPr>
        <w:t>could be</w:t>
      </w:r>
      <w:r w:rsidR="00470E28" w:rsidRPr="004631BF">
        <w:rPr>
          <w:color w:val="000000" w:themeColor="text1"/>
        </w:rPr>
        <w:t xml:space="preserve"> a double-edged sword that </w:t>
      </w:r>
      <w:r w:rsidR="00540D46" w:rsidRPr="004631BF">
        <w:rPr>
          <w:color w:val="000000" w:themeColor="text1"/>
        </w:rPr>
        <w:t>could</w:t>
      </w:r>
      <w:r w:rsidR="00470E28" w:rsidRPr="004631BF">
        <w:rPr>
          <w:color w:val="000000" w:themeColor="text1"/>
        </w:rPr>
        <w:t xml:space="preserve"> just as easily </w:t>
      </w:r>
      <w:r w:rsidR="00540D46" w:rsidRPr="004631BF">
        <w:rPr>
          <w:color w:val="000000" w:themeColor="text1"/>
        </w:rPr>
        <w:t>be</w:t>
      </w:r>
      <w:r w:rsidR="00470E28" w:rsidRPr="004631BF">
        <w:rPr>
          <w:color w:val="000000" w:themeColor="text1"/>
        </w:rPr>
        <w:t xml:space="preserve"> used against </w:t>
      </w:r>
      <w:r w:rsidR="00966D76" w:rsidRPr="004631BF">
        <w:rPr>
          <w:color w:val="000000" w:themeColor="text1"/>
        </w:rPr>
        <w:t xml:space="preserve">proponents of antiracism and </w:t>
      </w:r>
      <w:r w:rsidR="00470E28" w:rsidRPr="004631BF">
        <w:rPr>
          <w:color w:val="000000" w:themeColor="text1"/>
        </w:rPr>
        <w:t xml:space="preserve">BLM supporters as </w:t>
      </w:r>
      <w:r w:rsidR="00966D76" w:rsidRPr="004631BF">
        <w:rPr>
          <w:color w:val="000000" w:themeColor="text1"/>
        </w:rPr>
        <w:t xml:space="preserve">against </w:t>
      </w:r>
      <w:r w:rsidR="00470E28" w:rsidRPr="004631BF">
        <w:rPr>
          <w:color w:val="000000" w:themeColor="text1"/>
        </w:rPr>
        <w:t>conservatives</w:t>
      </w:r>
      <w:r w:rsidRPr="004631BF">
        <w:rPr>
          <w:color w:val="000000" w:themeColor="text1"/>
        </w:rPr>
        <w:t>.</w:t>
      </w:r>
      <w:r w:rsidR="00540D46" w:rsidRPr="004631BF">
        <w:rPr>
          <w:rStyle w:val="FootnoteReference"/>
          <w:color w:val="000000" w:themeColor="text1"/>
        </w:rPr>
        <w:footnoteReference w:id="9"/>
      </w:r>
      <w:r w:rsidRPr="004631BF">
        <w:rPr>
          <w:color w:val="000000" w:themeColor="text1"/>
        </w:rPr>
        <w:t xml:space="preserve"> O</w:t>
      </w:r>
      <w:r w:rsidR="00470E28" w:rsidRPr="004631BF">
        <w:rPr>
          <w:color w:val="000000" w:themeColor="text1"/>
        </w:rPr>
        <w:t xml:space="preserve">nce the door is opened to judging the content of speech as “hostile,” it can be used against any group that makes someone uncomfortable. </w:t>
      </w:r>
    </w:p>
    <w:p w14:paraId="53734106" w14:textId="0F27436B" w:rsidR="00A83AA9" w:rsidRPr="004631BF" w:rsidRDefault="0020093E" w:rsidP="0020093E">
      <w:pPr>
        <w:spacing w:before="120" w:after="120" w:line="480" w:lineRule="auto"/>
        <w:rPr>
          <w:color w:val="000000" w:themeColor="text1"/>
        </w:rPr>
      </w:pPr>
      <w:r w:rsidRPr="004631BF">
        <w:rPr>
          <w:color w:val="000000" w:themeColor="text1"/>
        </w:rPr>
        <w:tab/>
      </w:r>
      <w:r w:rsidR="005A4CE1" w:rsidRPr="004631BF">
        <w:rPr>
          <w:color w:val="000000" w:themeColor="text1"/>
        </w:rPr>
        <w:t>Finally, I</w:t>
      </w:r>
      <w:r w:rsidRPr="004631BF">
        <w:rPr>
          <w:color w:val="000000" w:themeColor="text1"/>
        </w:rPr>
        <w:t xml:space="preserve"> </w:t>
      </w:r>
      <w:r w:rsidR="0000767B" w:rsidRPr="004631BF">
        <w:rPr>
          <w:color w:val="000000" w:themeColor="text1"/>
        </w:rPr>
        <w:t>had not initially</w:t>
      </w:r>
      <w:r w:rsidR="005A4CE1" w:rsidRPr="004631BF">
        <w:rPr>
          <w:color w:val="000000" w:themeColor="text1"/>
        </w:rPr>
        <w:t xml:space="preserve"> intended to include the phenomenon of </w:t>
      </w:r>
      <w:r w:rsidR="0000767B" w:rsidRPr="004631BF">
        <w:rPr>
          <w:color w:val="000000" w:themeColor="text1"/>
        </w:rPr>
        <w:t xml:space="preserve"> cyberbullying</w:t>
      </w:r>
      <w:r w:rsidR="00966D76" w:rsidRPr="004631BF">
        <w:rPr>
          <w:color w:val="000000" w:themeColor="text1"/>
        </w:rPr>
        <w:t xml:space="preserve"> in my study</w:t>
      </w:r>
      <w:r w:rsidR="0000767B" w:rsidRPr="004631BF">
        <w:rPr>
          <w:color w:val="000000" w:themeColor="text1"/>
        </w:rPr>
        <w:t xml:space="preserve">, as I initially understood it to be outside the scope of </w:t>
      </w:r>
      <w:r w:rsidR="00966D76" w:rsidRPr="004631BF">
        <w:rPr>
          <w:color w:val="000000" w:themeColor="text1"/>
        </w:rPr>
        <w:t>a</w:t>
      </w:r>
      <w:r w:rsidR="0000767B" w:rsidRPr="004631BF">
        <w:rPr>
          <w:color w:val="000000" w:themeColor="text1"/>
        </w:rPr>
        <w:t xml:space="preserve"> university</w:t>
      </w:r>
      <w:r w:rsidR="00966D76" w:rsidRPr="004631BF">
        <w:rPr>
          <w:color w:val="000000" w:themeColor="text1"/>
        </w:rPr>
        <w:t xml:space="preserve"> administration’s official</w:t>
      </w:r>
      <w:r w:rsidR="0000767B" w:rsidRPr="004631BF">
        <w:rPr>
          <w:color w:val="000000" w:themeColor="text1"/>
        </w:rPr>
        <w:t xml:space="preserve"> responsibilities</w:t>
      </w:r>
      <w:r w:rsidR="005A4CE1" w:rsidRPr="004631BF">
        <w:rPr>
          <w:color w:val="000000" w:themeColor="text1"/>
        </w:rPr>
        <w:t>. However,</w:t>
      </w:r>
      <w:r w:rsidR="0000767B" w:rsidRPr="004631BF">
        <w:rPr>
          <w:color w:val="000000" w:themeColor="text1"/>
        </w:rPr>
        <w:t xml:space="preserve"> as I researched further, I came to realize both how detrimental organized “troll mobs” could be to academic freedom for scholars on all sides of the political spectrum, and also how well-organized and systematic these attacks have become just in the past few years. In some way</w:t>
      </w:r>
      <w:r w:rsidR="00D80327" w:rsidRPr="004631BF">
        <w:rPr>
          <w:color w:val="000000" w:themeColor="text1"/>
        </w:rPr>
        <w:t>s</w:t>
      </w:r>
      <w:r w:rsidR="0000767B" w:rsidRPr="004631BF">
        <w:rPr>
          <w:color w:val="000000" w:themeColor="text1"/>
        </w:rPr>
        <w:t xml:space="preserve"> the </w:t>
      </w:r>
      <w:r w:rsidR="005A4CE1" w:rsidRPr="004631BF">
        <w:rPr>
          <w:color w:val="000000" w:themeColor="text1"/>
        </w:rPr>
        <w:t xml:space="preserve">scholarly </w:t>
      </w:r>
      <w:r w:rsidR="0000767B" w:rsidRPr="004631BF">
        <w:rPr>
          <w:color w:val="000000" w:themeColor="text1"/>
        </w:rPr>
        <w:t xml:space="preserve">literature has not caught up </w:t>
      </w:r>
      <w:r w:rsidR="005A4CE1" w:rsidRPr="004631BF">
        <w:rPr>
          <w:color w:val="000000" w:themeColor="text1"/>
        </w:rPr>
        <w:t xml:space="preserve">here </w:t>
      </w:r>
      <w:r w:rsidR="0000767B" w:rsidRPr="004631BF">
        <w:rPr>
          <w:color w:val="000000" w:themeColor="text1"/>
        </w:rPr>
        <w:t xml:space="preserve">to the threat that </w:t>
      </w:r>
      <w:r w:rsidR="00966D76" w:rsidRPr="004631BF">
        <w:rPr>
          <w:color w:val="000000" w:themeColor="text1"/>
        </w:rPr>
        <w:t>cyber-bullying</w:t>
      </w:r>
      <w:r w:rsidR="0000767B" w:rsidRPr="004631BF">
        <w:rPr>
          <w:color w:val="000000" w:themeColor="text1"/>
        </w:rPr>
        <w:t xml:space="preserve"> can pose: when I looked for monographs on the subject, </w:t>
      </w:r>
      <w:r w:rsidR="000C66D3" w:rsidRPr="004631BF">
        <w:rPr>
          <w:color w:val="000000" w:themeColor="text1"/>
        </w:rPr>
        <w:t>most addressed</w:t>
      </w:r>
      <w:r w:rsidR="0000767B" w:rsidRPr="004631BF">
        <w:rPr>
          <w:color w:val="000000" w:themeColor="text1"/>
        </w:rPr>
        <w:t xml:space="preserve"> schoolchildren bullying one another online.</w:t>
      </w:r>
      <w:r w:rsidR="004E40F6" w:rsidRPr="004631BF">
        <w:rPr>
          <w:rStyle w:val="FootnoteReference"/>
          <w:color w:val="000000" w:themeColor="text1"/>
        </w:rPr>
        <w:footnoteReference w:id="10"/>
      </w:r>
      <w:r w:rsidR="0000767B" w:rsidRPr="004631BF">
        <w:rPr>
          <w:color w:val="000000" w:themeColor="text1"/>
        </w:rPr>
        <w:t xml:space="preserve"> </w:t>
      </w:r>
      <w:r w:rsidR="00CC7148" w:rsidRPr="004631BF">
        <w:rPr>
          <w:color w:val="000000" w:themeColor="text1"/>
        </w:rPr>
        <w:t xml:space="preserve"> </w:t>
      </w:r>
      <w:r w:rsidR="00A83AA9" w:rsidRPr="004631BF">
        <w:rPr>
          <w:color w:val="000000" w:themeColor="text1"/>
        </w:rPr>
        <w:t xml:space="preserve">The AAUP has recorded over </w:t>
      </w:r>
      <w:r w:rsidR="005A4CE1" w:rsidRPr="004631BF">
        <w:rPr>
          <w:color w:val="000000" w:themeColor="text1"/>
        </w:rPr>
        <w:t>fifty</w:t>
      </w:r>
      <w:r w:rsidR="00A83AA9" w:rsidRPr="004631BF">
        <w:rPr>
          <w:color w:val="000000" w:themeColor="text1"/>
        </w:rPr>
        <w:t xml:space="preserve"> cases of targeted academic harassment since </w:t>
      </w:r>
      <w:r w:rsidR="001A2002" w:rsidRPr="004631BF">
        <w:rPr>
          <w:color w:val="000000" w:themeColor="text1"/>
        </w:rPr>
        <w:t>F</w:t>
      </w:r>
      <w:r w:rsidR="00A83AA9" w:rsidRPr="004631BF">
        <w:rPr>
          <w:color w:val="000000" w:themeColor="text1"/>
        </w:rPr>
        <w:t>all 2016. In the</w:t>
      </w:r>
      <w:r w:rsidR="001A2002" w:rsidRPr="004631BF">
        <w:rPr>
          <w:color w:val="000000" w:themeColor="text1"/>
        </w:rPr>
        <w:t xml:space="preserve"> AAUP’s</w:t>
      </w:r>
      <w:r w:rsidR="00A83AA9" w:rsidRPr="004631BF">
        <w:rPr>
          <w:color w:val="000000" w:themeColor="text1"/>
        </w:rPr>
        <w:t xml:space="preserve"> study, almost half of the cases </w:t>
      </w:r>
      <w:r w:rsidR="000C66D3" w:rsidRPr="004631BF">
        <w:rPr>
          <w:color w:val="000000" w:themeColor="text1"/>
        </w:rPr>
        <w:t xml:space="preserve">stemmed from </w:t>
      </w:r>
      <w:r w:rsidR="00A83AA9" w:rsidRPr="004631BF">
        <w:rPr>
          <w:color w:val="000000" w:themeColor="text1"/>
        </w:rPr>
        <w:t xml:space="preserve">racial </w:t>
      </w:r>
      <w:r w:rsidR="00A83AA9" w:rsidRPr="004631BF">
        <w:rPr>
          <w:color w:val="000000" w:themeColor="text1"/>
        </w:rPr>
        <w:lastRenderedPageBreak/>
        <w:t>issues, and nearly half resulted in threats of personal violence. 62% of the targets were women, and English, History, Women’s Studies, and Political Science were the leading disciplines targeted.</w:t>
      </w:r>
      <w:r w:rsidR="00A83AA9" w:rsidRPr="004631BF">
        <w:rPr>
          <w:rStyle w:val="FootnoteReference"/>
          <w:color w:val="000000" w:themeColor="text1"/>
        </w:rPr>
        <w:footnoteReference w:id="11"/>
      </w:r>
    </w:p>
    <w:p w14:paraId="08434CD3" w14:textId="77777777" w:rsidR="001A2002" w:rsidRPr="004631BF" w:rsidRDefault="004E40F6" w:rsidP="0020093E">
      <w:pPr>
        <w:spacing w:before="120" w:after="120" w:line="480" w:lineRule="auto"/>
        <w:rPr>
          <w:color w:val="000000" w:themeColor="text1"/>
        </w:rPr>
      </w:pPr>
      <w:r w:rsidRPr="004631BF">
        <w:rPr>
          <w:color w:val="000000" w:themeColor="text1"/>
        </w:rPr>
        <w:tab/>
        <w:t xml:space="preserve">Cyber-bullying should not be under-estimated: and I say this as someone who is really not sure what the legal solution to this problem is. But in this age of social media, troll mobs, and readily-available personal data, both the psychological and the physical threat of organized cyber- attacks against individual faculty members, particularly women, minorities, and LBGTQ faculty, cannot be ignored—and the universities often inadvertently give encouragement to the troll mobs by their attempts to stay out of the controversy and be fair-handed. As </w:t>
      </w:r>
      <w:r w:rsidR="0000767B" w:rsidRPr="004631BF">
        <w:rPr>
          <w:color w:val="000000" w:themeColor="text1"/>
        </w:rPr>
        <w:t xml:space="preserve">Keeanga-Yamahtta Taylor </w:t>
      </w:r>
      <w:r w:rsidRPr="004631BF">
        <w:rPr>
          <w:color w:val="000000" w:themeColor="text1"/>
        </w:rPr>
        <w:t xml:space="preserve">stated, </w:t>
      </w:r>
      <w:r w:rsidR="0000767B" w:rsidRPr="004631BF">
        <w:rPr>
          <w:color w:val="000000" w:themeColor="text1"/>
        </w:rPr>
        <w:t xml:space="preserve">on her publisher’s Facebook page, cancelling all her upcoming public appearances in the wake of death threats: </w:t>
      </w:r>
    </w:p>
    <w:p w14:paraId="177B16F6" w14:textId="701BE4B5" w:rsidR="0000767B" w:rsidRPr="004631BF" w:rsidRDefault="0000767B" w:rsidP="001A2002">
      <w:pPr>
        <w:spacing w:before="120" w:after="120"/>
        <w:ind w:left="720" w:right="720"/>
        <w:jc w:val="both"/>
        <w:rPr>
          <w:color w:val="000000" w:themeColor="text1"/>
        </w:rPr>
      </w:pPr>
      <w:r w:rsidRPr="004631BF">
        <w:rPr>
          <w:rFonts w:eastAsia="Times New Roman"/>
          <w:color w:val="000000" w:themeColor="text1"/>
        </w:rPr>
        <w:t>Shortly after the Fox story and video were published, my work email was inundated with vile and violent statements. I have been repeatedly called “nigger,” “bitch,” “cunt,” “dyke,” “she-male,” and “coon” — a clear reminder that racial violence is closely aligned with gender and sexual violence. I have been threatened with lynching and having the bullet from a .44 Magnum put in my head. I am not a newsworthy person. Fox did not run this story because it was “news,” but to incite and unleash the mob-like mentality of its fringe audience, anticipating that they would respond with a deluge of hate-filled emails — or worse. The threat of violence, whether it is implied or acted on, is intended to intimidate and to silence.</w:t>
      </w:r>
      <w:r w:rsidRPr="004631BF">
        <w:rPr>
          <w:rStyle w:val="FootnoteReference"/>
          <w:rFonts w:eastAsia="Times New Roman"/>
          <w:color w:val="000000" w:themeColor="text1"/>
        </w:rPr>
        <w:footnoteReference w:id="12"/>
      </w:r>
      <w:r w:rsidRPr="004631BF">
        <w:rPr>
          <w:rFonts w:eastAsia="Times New Roman"/>
          <w:color w:val="000000" w:themeColor="text1"/>
        </w:rPr>
        <w:t xml:space="preserve"> </w:t>
      </w:r>
    </w:p>
    <w:p w14:paraId="5E33B041" w14:textId="77777777" w:rsidR="0000767B" w:rsidRPr="004631BF" w:rsidRDefault="0000767B" w:rsidP="0020093E">
      <w:pPr>
        <w:spacing w:before="120" w:after="120" w:line="480" w:lineRule="auto"/>
        <w:rPr>
          <w:color w:val="000000" w:themeColor="text1"/>
        </w:rPr>
      </w:pPr>
    </w:p>
    <w:sectPr w:rsidR="0000767B" w:rsidRPr="004631BF" w:rsidSect="009F7178">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CE15B7" w14:textId="77777777" w:rsidR="00C778F8" w:rsidRDefault="00C778F8" w:rsidP="0000767B">
      <w:r>
        <w:separator/>
      </w:r>
    </w:p>
  </w:endnote>
  <w:endnote w:type="continuationSeparator" w:id="0">
    <w:p w14:paraId="039364C9" w14:textId="77777777" w:rsidR="00C778F8" w:rsidRDefault="00C778F8" w:rsidP="00007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w:altName w:val="Baskerville Old Face"/>
    <w:charset w:val="00"/>
    <w:family w:val="roman"/>
    <w:pitch w:val="variable"/>
    <w:sig w:usb0="80000067" w:usb1="02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77148524"/>
      <w:docPartObj>
        <w:docPartGallery w:val="Page Numbers (Bottom of Page)"/>
        <w:docPartUnique/>
      </w:docPartObj>
    </w:sdtPr>
    <w:sdtEndPr>
      <w:rPr>
        <w:rStyle w:val="PageNumber"/>
      </w:rPr>
    </w:sdtEndPr>
    <w:sdtContent>
      <w:p w14:paraId="33D0C7F3" w14:textId="170E81C3" w:rsidR="00FB47FA" w:rsidRDefault="00FB47FA" w:rsidP="00FB47F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A9DEAF" w14:textId="77777777" w:rsidR="00FB47FA" w:rsidRDefault="00FB47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53159381"/>
      <w:docPartObj>
        <w:docPartGallery w:val="Page Numbers (Bottom of Page)"/>
        <w:docPartUnique/>
      </w:docPartObj>
    </w:sdtPr>
    <w:sdtEndPr>
      <w:rPr>
        <w:rStyle w:val="PageNumber"/>
      </w:rPr>
    </w:sdtEndPr>
    <w:sdtContent>
      <w:p w14:paraId="3589FB67" w14:textId="384770F6" w:rsidR="00FB47FA" w:rsidRDefault="00FB47FA" w:rsidP="00FB47F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5FAE757" w14:textId="77777777" w:rsidR="00FB47FA" w:rsidRDefault="00FB47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C98348" w14:textId="77777777" w:rsidR="00C778F8" w:rsidRDefault="00C778F8" w:rsidP="0000767B">
      <w:r>
        <w:separator/>
      </w:r>
    </w:p>
  </w:footnote>
  <w:footnote w:type="continuationSeparator" w:id="0">
    <w:p w14:paraId="7D18C647" w14:textId="77777777" w:rsidR="00C778F8" w:rsidRDefault="00C778F8" w:rsidP="0000767B">
      <w:r>
        <w:continuationSeparator/>
      </w:r>
    </w:p>
  </w:footnote>
  <w:footnote w:id="1">
    <w:p w14:paraId="3024DD0E" w14:textId="04023768" w:rsidR="00FB47FA" w:rsidRPr="0020093E" w:rsidRDefault="00FB47FA" w:rsidP="001D7E87">
      <w:pPr>
        <w:pStyle w:val="FootnoteText"/>
        <w:spacing w:before="120" w:after="120"/>
        <w:rPr>
          <w:color w:val="000000" w:themeColor="text1"/>
        </w:rPr>
      </w:pPr>
      <w:r w:rsidRPr="0020093E">
        <w:rPr>
          <w:color w:val="000000" w:themeColor="text1"/>
        </w:rPr>
        <w:tab/>
      </w:r>
      <w:r w:rsidRPr="0020093E">
        <w:rPr>
          <w:rStyle w:val="FootnoteReference"/>
          <w:color w:val="000000" w:themeColor="text1"/>
        </w:rPr>
        <w:footnoteRef/>
      </w:r>
      <w:r w:rsidRPr="0020093E">
        <w:rPr>
          <w:color w:val="000000" w:themeColor="text1"/>
        </w:rPr>
        <w:t xml:space="preserve">A list of universities as of July 14, 2020, which have signed on to this statement is included on the Foundation for Individual Rights in Education (FIRE)’s website: </w:t>
      </w:r>
      <w:hyperlink r:id="rId1" w:history="1">
        <w:r w:rsidRPr="0020093E">
          <w:rPr>
            <w:rStyle w:val="Hyperlink"/>
          </w:rPr>
          <w:t>https://www.thefire.org/chicago-statement-university-and-faculty-body-support/</w:t>
        </w:r>
      </w:hyperlink>
      <w:r w:rsidRPr="0020093E">
        <w:rPr>
          <w:color w:val="000000" w:themeColor="text1"/>
        </w:rPr>
        <w:t xml:space="preserve">; Texas State should be included on this list, as we passed the resolution by Faculty Senate on Oct. 10, 2018, and </w:t>
      </w:r>
      <w:r w:rsidR="003D613F">
        <w:rPr>
          <w:color w:val="000000" w:themeColor="text1"/>
        </w:rPr>
        <w:t xml:space="preserve">the </w:t>
      </w:r>
      <w:r w:rsidRPr="0020093E">
        <w:rPr>
          <w:color w:val="000000" w:themeColor="text1"/>
        </w:rPr>
        <w:t>Provost agreed to include the statement on his web page 2018, but we are still not listed.</w:t>
      </w:r>
    </w:p>
  </w:footnote>
  <w:footnote w:id="2">
    <w:p w14:paraId="09BFD26E" w14:textId="77777777" w:rsidR="009434C7" w:rsidRPr="0020093E" w:rsidRDefault="009434C7" w:rsidP="009434C7">
      <w:pPr>
        <w:pStyle w:val="FootnoteText"/>
        <w:spacing w:before="120" w:after="120"/>
        <w:rPr>
          <w:color w:val="000000" w:themeColor="text1"/>
        </w:rPr>
      </w:pPr>
      <w:r w:rsidRPr="0020093E">
        <w:rPr>
          <w:color w:val="000000" w:themeColor="text1"/>
        </w:rPr>
        <w:tab/>
      </w:r>
      <w:r w:rsidRPr="0020093E">
        <w:rPr>
          <w:rStyle w:val="FootnoteReference"/>
          <w:color w:val="000000" w:themeColor="text1"/>
        </w:rPr>
        <w:footnoteRef/>
      </w:r>
      <w:r>
        <w:rPr>
          <w:color w:val="000000" w:themeColor="text1"/>
        </w:rPr>
        <w:t xml:space="preserve"> Alkek Libguide on Academic Freedom, assembly by Stephanie Towery: </w:t>
      </w:r>
      <w:r w:rsidRPr="0020093E">
        <w:t xml:space="preserve"> </w:t>
      </w:r>
      <w:hyperlink r:id="rId2" w:history="1">
        <w:r w:rsidRPr="0020093E">
          <w:rPr>
            <w:rStyle w:val="Hyperlink"/>
          </w:rPr>
          <w:t>https://guides.library.txstate.edu/academicfreedom</w:t>
        </w:r>
      </w:hyperlink>
      <w:r w:rsidRPr="0020093E">
        <w:rPr>
          <w:color w:val="000000" w:themeColor="text1"/>
        </w:rPr>
        <w:t xml:space="preserve">. </w:t>
      </w:r>
    </w:p>
  </w:footnote>
  <w:footnote w:id="3">
    <w:p w14:paraId="08EF7B1A" w14:textId="2FB7502F" w:rsidR="00FB47FA" w:rsidRPr="0020093E" w:rsidRDefault="00FB47FA" w:rsidP="001D7E87">
      <w:pPr>
        <w:spacing w:before="120" w:after="120"/>
        <w:rPr>
          <w:color w:val="000000" w:themeColor="text1"/>
          <w:sz w:val="20"/>
          <w:szCs w:val="20"/>
        </w:rPr>
      </w:pPr>
      <w:r w:rsidRPr="0020093E">
        <w:rPr>
          <w:color w:val="000000" w:themeColor="text1"/>
          <w:sz w:val="20"/>
          <w:szCs w:val="20"/>
        </w:rPr>
        <w:tab/>
      </w:r>
      <w:r w:rsidRPr="0020093E">
        <w:rPr>
          <w:rStyle w:val="FootnoteReference"/>
          <w:color w:val="000000" w:themeColor="text1"/>
          <w:sz w:val="20"/>
          <w:szCs w:val="20"/>
        </w:rPr>
        <w:footnoteRef/>
      </w:r>
      <w:r w:rsidRPr="0020093E">
        <w:rPr>
          <w:color w:val="000000" w:themeColor="text1"/>
          <w:sz w:val="20"/>
          <w:szCs w:val="20"/>
        </w:rPr>
        <w:t>Alexander C. Kafka</w:t>
      </w:r>
      <w:r w:rsidR="00CC24FD">
        <w:rPr>
          <w:color w:val="000000" w:themeColor="text1"/>
          <w:sz w:val="20"/>
          <w:szCs w:val="20"/>
        </w:rPr>
        <w:t>.</w:t>
      </w:r>
      <w:r w:rsidRPr="0020093E">
        <w:rPr>
          <w:color w:val="000000" w:themeColor="text1"/>
          <w:sz w:val="20"/>
          <w:szCs w:val="20"/>
        </w:rPr>
        <w:t xml:space="preserve"> </w:t>
      </w:r>
      <w:r w:rsidR="00CC24FD">
        <w:rPr>
          <w:color w:val="000000" w:themeColor="text1"/>
          <w:sz w:val="20"/>
          <w:szCs w:val="20"/>
        </w:rPr>
        <w:t>“</w:t>
      </w:r>
      <w:r w:rsidRPr="0020093E">
        <w:rPr>
          <w:color w:val="000000" w:themeColor="text1"/>
          <w:sz w:val="20"/>
          <w:szCs w:val="20"/>
        </w:rPr>
        <w:t xml:space="preserve">Will the Pandemic Usher in an Era of Mass Surveillance in Higher Education?” </w:t>
      </w:r>
      <w:r w:rsidRPr="0020093E">
        <w:rPr>
          <w:i/>
          <w:iCs/>
          <w:color w:val="000000" w:themeColor="text1"/>
          <w:sz w:val="20"/>
          <w:szCs w:val="20"/>
        </w:rPr>
        <w:t>CHE</w:t>
      </w:r>
      <w:r w:rsidRPr="0020093E">
        <w:rPr>
          <w:color w:val="000000" w:themeColor="text1"/>
          <w:sz w:val="20"/>
          <w:szCs w:val="20"/>
        </w:rPr>
        <w:t>, Apr. 14, 2020 [</w:t>
      </w:r>
      <w:hyperlink r:id="rId3" w:history="1">
        <w:r w:rsidRPr="0020093E">
          <w:rPr>
            <w:rStyle w:val="Hyperlink"/>
            <w:sz w:val="20"/>
            <w:szCs w:val="20"/>
          </w:rPr>
          <w:t>Link</w:t>
        </w:r>
      </w:hyperlink>
      <w:r w:rsidRPr="0020093E">
        <w:rPr>
          <w:color w:val="000000" w:themeColor="text1"/>
          <w:sz w:val="20"/>
          <w:szCs w:val="20"/>
        </w:rPr>
        <w:t>]; Emma Pettit</w:t>
      </w:r>
      <w:r w:rsidR="00CC24FD">
        <w:rPr>
          <w:color w:val="000000" w:themeColor="text1"/>
          <w:sz w:val="20"/>
          <w:szCs w:val="20"/>
        </w:rPr>
        <w:t>.</w:t>
      </w:r>
      <w:r w:rsidRPr="0020093E">
        <w:rPr>
          <w:color w:val="000000" w:themeColor="text1"/>
          <w:sz w:val="20"/>
          <w:szCs w:val="20"/>
        </w:rPr>
        <w:t xml:space="preserve"> “A Side Effect of Remote Teaching During Covid-19? Videos That Can Be Weaponized.” </w:t>
      </w:r>
      <w:r w:rsidRPr="0020093E">
        <w:rPr>
          <w:i/>
          <w:iCs/>
          <w:color w:val="000000" w:themeColor="text1"/>
          <w:sz w:val="20"/>
          <w:szCs w:val="20"/>
        </w:rPr>
        <w:t>CHE</w:t>
      </w:r>
      <w:r w:rsidRPr="0020093E">
        <w:rPr>
          <w:color w:val="000000" w:themeColor="text1"/>
          <w:sz w:val="20"/>
          <w:szCs w:val="20"/>
        </w:rPr>
        <w:t>, Mar. 24, 2020 [</w:t>
      </w:r>
      <w:hyperlink r:id="rId4" w:history="1">
        <w:r w:rsidRPr="0020093E">
          <w:rPr>
            <w:rStyle w:val="Hyperlink"/>
            <w:sz w:val="20"/>
            <w:szCs w:val="20"/>
          </w:rPr>
          <w:t>Link</w:t>
        </w:r>
      </w:hyperlink>
      <w:r w:rsidRPr="0020093E">
        <w:rPr>
          <w:color w:val="000000" w:themeColor="text1"/>
          <w:sz w:val="20"/>
          <w:szCs w:val="20"/>
        </w:rPr>
        <w:t>]. Peter Schmidt reports that alt-right media such as College Fix and Campus Reform pay student journalists about $50-100 per story. Peter Schmidt</w:t>
      </w:r>
      <w:r w:rsidR="00CC24FD">
        <w:rPr>
          <w:color w:val="000000" w:themeColor="text1"/>
          <w:sz w:val="20"/>
          <w:szCs w:val="20"/>
        </w:rPr>
        <w:t>.</w:t>
      </w:r>
      <w:r w:rsidRPr="0020093E">
        <w:rPr>
          <w:color w:val="000000" w:themeColor="text1"/>
          <w:sz w:val="20"/>
          <w:szCs w:val="20"/>
        </w:rPr>
        <w:t xml:space="preserve"> “Higher Educations’ Internet Outrage Machine.” </w:t>
      </w:r>
      <w:r w:rsidRPr="0020093E">
        <w:rPr>
          <w:i/>
          <w:iCs/>
          <w:color w:val="000000" w:themeColor="text1"/>
          <w:sz w:val="20"/>
          <w:szCs w:val="20"/>
        </w:rPr>
        <w:t>CHE</w:t>
      </w:r>
      <w:r w:rsidRPr="0020093E">
        <w:rPr>
          <w:color w:val="000000" w:themeColor="text1"/>
          <w:sz w:val="20"/>
          <w:szCs w:val="20"/>
        </w:rPr>
        <w:t xml:space="preserve"> </w:t>
      </w:r>
      <w:r w:rsidRPr="0020093E">
        <w:rPr>
          <w:i/>
          <w:iCs/>
          <w:color w:val="000000" w:themeColor="text1"/>
          <w:sz w:val="20"/>
          <w:szCs w:val="20"/>
        </w:rPr>
        <w:t>Focus</w:t>
      </w:r>
      <w:r w:rsidRPr="0020093E">
        <w:rPr>
          <w:color w:val="000000" w:themeColor="text1"/>
          <w:sz w:val="20"/>
          <w:szCs w:val="20"/>
        </w:rPr>
        <w:t xml:space="preserve">, 2017, 15-18. Morton C. Blackwell, president of Leadership Institute, which runs </w:t>
      </w:r>
      <w:r w:rsidRPr="0020093E">
        <w:rPr>
          <w:i/>
          <w:iCs/>
          <w:color w:val="000000" w:themeColor="text1"/>
          <w:sz w:val="20"/>
          <w:szCs w:val="20"/>
        </w:rPr>
        <w:t>Campus Reform</w:t>
      </w:r>
      <w:r w:rsidRPr="0020093E">
        <w:rPr>
          <w:color w:val="000000" w:themeColor="text1"/>
          <w:sz w:val="20"/>
          <w:szCs w:val="20"/>
        </w:rPr>
        <w:t>, sees much of higher education as a “left-wing indoctrination center.” (Schmidt, p. 16). Charlie Kirk, one of the leaders in this movement to encourage student “reporting” of university leftist tendencies through covert taping of class lectures</w:t>
      </w:r>
      <w:r w:rsidR="00CC24FD">
        <w:rPr>
          <w:color w:val="000000" w:themeColor="text1"/>
          <w:sz w:val="20"/>
          <w:szCs w:val="20"/>
        </w:rPr>
        <w:t>,</w:t>
      </w:r>
      <w:r w:rsidRPr="0020093E">
        <w:rPr>
          <w:color w:val="000000" w:themeColor="text1"/>
          <w:sz w:val="20"/>
          <w:szCs w:val="20"/>
        </w:rPr>
        <w:t xml:space="preserve"> has seen substantial financial success in this endeavor, as Turning Point USA, which he helped found in 2012, reported over </w:t>
      </w:r>
      <w:r w:rsidR="00CC24FD">
        <w:rPr>
          <w:color w:val="000000" w:themeColor="text1"/>
          <w:sz w:val="20"/>
          <w:szCs w:val="20"/>
        </w:rPr>
        <w:t>$</w:t>
      </w:r>
      <w:r w:rsidRPr="0020093E">
        <w:rPr>
          <w:color w:val="000000" w:themeColor="text1"/>
          <w:sz w:val="20"/>
          <w:szCs w:val="20"/>
        </w:rPr>
        <w:t xml:space="preserve">28 million dollars in revenue for the 2019 fiscal year: Michael Vasquez. “As Turning Point USA Grows, So Does Charlie Kirk’s Salary.” </w:t>
      </w:r>
      <w:r w:rsidRPr="0020093E">
        <w:rPr>
          <w:i/>
          <w:iCs/>
          <w:color w:val="000000" w:themeColor="text1"/>
          <w:sz w:val="20"/>
          <w:szCs w:val="20"/>
        </w:rPr>
        <w:t>CHE</w:t>
      </w:r>
      <w:r w:rsidRPr="0020093E">
        <w:rPr>
          <w:color w:val="000000" w:themeColor="text1"/>
          <w:sz w:val="20"/>
          <w:szCs w:val="20"/>
        </w:rPr>
        <w:t>, July 10, 2020 [</w:t>
      </w:r>
      <w:hyperlink r:id="rId5" w:history="1">
        <w:r w:rsidRPr="0020093E">
          <w:rPr>
            <w:rStyle w:val="Hyperlink"/>
            <w:sz w:val="20"/>
            <w:szCs w:val="20"/>
          </w:rPr>
          <w:t>Link</w:t>
        </w:r>
      </w:hyperlink>
      <w:r w:rsidRPr="0020093E">
        <w:rPr>
          <w:color w:val="000000" w:themeColor="text1"/>
          <w:sz w:val="20"/>
          <w:szCs w:val="20"/>
        </w:rPr>
        <w:t xml:space="preserve">]. </w:t>
      </w:r>
    </w:p>
  </w:footnote>
  <w:footnote w:id="4">
    <w:p w14:paraId="2FD40343" w14:textId="5FB0242A" w:rsidR="001D7E87" w:rsidRPr="0020093E" w:rsidRDefault="001D7E87" w:rsidP="001D7E87">
      <w:pPr>
        <w:pStyle w:val="FootnoteText"/>
        <w:spacing w:before="120" w:after="120"/>
        <w:rPr>
          <w:color w:val="000000" w:themeColor="text1"/>
        </w:rPr>
      </w:pPr>
      <w:r w:rsidRPr="0020093E">
        <w:rPr>
          <w:color w:val="000000" w:themeColor="text1"/>
        </w:rPr>
        <w:tab/>
      </w:r>
      <w:r w:rsidRPr="0020093E">
        <w:rPr>
          <w:rStyle w:val="FootnoteReference"/>
          <w:color w:val="000000" w:themeColor="text1"/>
        </w:rPr>
        <w:footnoteRef/>
      </w:r>
      <w:r w:rsidRPr="0020093E">
        <w:rPr>
          <w:color w:val="000000" w:themeColor="text1"/>
        </w:rPr>
        <w:t xml:space="preserve"> </w:t>
      </w:r>
      <w:r>
        <w:rPr>
          <w:color w:val="000000" w:themeColor="text1"/>
        </w:rPr>
        <w:t xml:space="preserve">Reported in </w:t>
      </w:r>
      <w:r w:rsidRPr="007D0629">
        <w:rPr>
          <w:color w:val="000000" w:themeColor="text1"/>
        </w:rPr>
        <w:t>Amy J. Orr</w:t>
      </w:r>
      <w:r w:rsidR="00CC24FD">
        <w:rPr>
          <w:color w:val="000000" w:themeColor="text1"/>
        </w:rPr>
        <w:t>.</w:t>
      </w:r>
      <w:r w:rsidRPr="007D0629">
        <w:rPr>
          <w:color w:val="000000" w:themeColor="text1"/>
        </w:rPr>
        <w:t xml:space="preserve"> “Teaching Sociology: The Precariousness of Academic Freedom.” </w:t>
      </w:r>
      <w:r w:rsidRPr="007D0629">
        <w:rPr>
          <w:i/>
          <w:iCs/>
          <w:color w:val="000000" w:themeColor="text1"/>
        </w:rPr>
        <w:t>Sociological Perspectives</w:t>
      </w:r>
      <w:r w:rsidRPr="007D0629">
        <w:rPr>
          <w:color w:val="000000" w:themeColor="text1"/>
        </w:rPr>
        <w:t>,  Dec. 3, 2018</w:t>
      </w:r>
      <w:r>
        <w:rPr>
          <w:color w:val="000000" w:themeColor="text1"/>
        </w:rPr>
        <w:t>.</w:t>
      </w:r>
    </w:p>
  </w:footnote>
  <w:footnote w:id="5">
    <w:p w14:paraId="09815318" w14:textId="17F17653" w:rsidR="00FB47FA" w:rsidRPr="0020093E" w:rsidRDefault="00FB47FA" w:rsidP="001D7E87">
      <w:pPr>
        <w:pStyle w:val="FootnoteText"/>
        <w:spacing w:before="120" w:after="120"/>
      </w:pPr>
      <w:r w:rsidRPr="0020093E">
        <w:tab/>
      </w:r>
      <w:r w:rsidRPr="0020093E">
        <w:rPr>
          <w:rStyle w:val="FootnoteReference"/>
        </w:rPr>
        <w:footnoteRef/>
      </w:r>
      <w:r w:rsidRPr="0020093E">
        <w:t xml:space="preserve"> </w:t>
      </w:r>
      <w:r w:rsidRPr="0020093E">
        <w:rPr>
          <w:rFonts w:eastAsia="Times New Roman"/>
        </w:rPr>
        <w:t>Amy J. Orr</w:t>
      </w:r>
      <w:r w:rsidR="00CC24FD">
        <w:rPr>
          <w:rFonts w:eastAsia="Times New Roman"/>
        </w:rPr>
        <w:t>.</w:t>
      </w:r>
      <w:r w:rsidRPr="0020093E">
        <w:rPr>
          <w:rFonts w:eastAsia="Times New Roman"/>
        </w:rPr>
        <w:t xml:space="preserve"> </w:t>
      </w:r>
      <w:r w:rsidR="00CC24FD">
        <w:rPr>
          <w:rFonts w:eastAsia="Times New Roman"/>
        </w:rPr>
        <w:t>:</w:t>
      </w:r>
      <w:r w:rsidRPr="0020093E">
        <w:rPr>
          <w:rFonts w:eastAsia="Times New Roman"/>
        </w:rPr>
        <w:t>Teaching Sociology: The Precariousness of Academic Freedom</w:t>
      </w:r>
      <w:r w:rsidR="00CC24FD">
        <w:rPr>
          <w:rFonts w:eastAsia="Times New Roman"/>
        </w:rPr>
        <w:t>.”</w:t>
      </w:r>
      <w:r w:rsidRPr="0020093E">
        <w:rPr>
          <w:rFonts w:eastAsia="Times New Roman"/>
        </w:rPr>
        <w:t xml:space="preserve"> </w:t>
      </w:r>
      <w:r w:rsidRPr="0020093E">
        <w:rPr>
          <w:rFonts w:eastAsia="Times New Roman"/>
          <w:i/>
          <w:iCs/>
        </w:rPr>
        <w:t>Sociological Perspectives</w:t>
      </w:r>
      <w:r w:rsidRPr="0020093E">
        <w:rPr>
          <w:rFonts w:eastAsia="Times New Roman"/>
        </w:rPr>
        <w:t>, Dec. 3, 2018 [</w:t>
      </w:r>
      <w:hyperlink r:id="rId6" w:history="1">
        <w:r w:rsidRPr="0020093E">
          <w:rPr>
            <w:rStyle w:val="Hyperlink"/>
            <w:rFonts w:eastAsia="Times New Roman"/>
          </w:rPr>
          <w:t>Link</w:t>
        </w:r>
      </w:hyperlink>
      <w:r w:rsidRPr="0020093E">
        <w:rPr>
          <w:rFonts w:eastAsia="Times New Roman"/>
        </w:rPr>
        <w:t>].</w:t>
      </w:r>
    </w:p>
  </w:footnote>
  <w:footnote w:id="6">
    <w:p w14:paraId="248682AD" w14:textId="25550946" w:rsidR="00FB47FA" w:rsidRDefault="00FB47FA" w:rsidP="001D7E87">
      <w:pPr>
        <w:pStyle w:val="FootnoteText"/>
        <w:spacing w:before="120" w:after="120"/>
      </w:pPr>
      <w:r>
        <w:tab/>
      </w:r>
      <w:r>
        <w:rPr>
          <w:rStyle w:val="FootnoteReference"/>
        </w:rPr>
        <w:footnoteRef/>
      </w:r>
      <w:r>
        <w:t xml:space="preserve"> </w:t>
      </w:r>
      <w:r w:rsidRPr="00583385">
        <w:t xml:space="preserve">Ellen Schrecker. “The AAUP in the Age of Trump: When the rules have changed, how should the AAUP react?” </w:t>
      </w:r>
      <w:r w:rsidRPr="00CC24FD">
        <w:rPr>
          <w:i/>
          <w:iCs/>
        </w:rPr>
        <w:t>AAUP</w:t>
      </w:r>
      <w:r w:rsidR="00CC24FD">
        <w:t>,</w:t>
      </w:r>
      <w:r w:rsidRPr="00583385">
        <w:t xml:space="preserve"> Jan-Feb. 2018. [</w:t>
      </w:r>
      <w:hyperlink r:id="rId7" w:anchor=".Xxn_Cx17mhc" w:history="1">
        <w:r w:rsidRPr="00FD6FF1">
          <w:rPr>
            <w:rStyle w:val="Hyperlink"/>
          </w:rPr>
          <w:t>Link</w:t>
        </w:r>
      </w:hyperlink>
      <w:r w:rsidRPr="00583385">
        <w:t>]</w:t>
      </w:r>
      <w:r>
        <w:t>.</w:t>
      </w:r>
    </w:p>
  </w:footnote>
  <w:footnote w:id="7">
    <w:p w14:paraId="071F3831" w14:textId="3EBFA8D2" w:rsidR="00FB47FA" w:rsidRPr="0020093E" w:rsidRDefault="00FB47FA" w:rsidP="001D7E87">
      <w:pPr>
        <w:spacing w:before="120" w:after="120"/>
        <w:rPr>
          <w:sz w:val="20"/>
          <w:szCs w:val="20"/>
        </w:rPr>
      </w:pPr>
      <w:r w:rsidRPr="0020093E">
        <w:rPr>
          <w:sz w:val="20"/>
          <w:szCs w:val="20"/>
        </w:rPr>
        <w:tab/>
      </w:r>
      <w:r w:rsidRPr="0020093E">
        <w:rPr>
          <w:rStyle w:val="FootnoteReference"/>
          <w:sz w:val="20"/>
          <w:szCs w:val="20"/>
        </w:rPr>
        <w:footnoteRef/>
      </w:r>
      <w:r w:rsidRPr="0020093E">
        <w:rPr>
          <w:sz w:val="20"/>
          <w:szCs w:val="20"/>
        </w:rPr>
        <w:t xml:space="preserve"> Michael Vasquez. “Inside a Stealth Plan for Political Influence: To fight campus liberalism, a right-wing group is funneling thousands of dollars to student-government campaigns.” </w:t>
      </w:r>
      <w:r w:rsidRPr="0020093E">
        <w:rPr>
          <w:i/>
          <w:iCs/>
          <w:sz w:val="20"/>
          <w:szCs w:val="20"/>
        </w:rPr>
        <w:t>CHE</w:t>
      </w:r>
      <w:r w:rsidRPr="0020093E">
        <w:rPr>
          <w:sz w:val="20"/>
          <w:szCs w:val="20"/>
        </w:rPr>
        <w:t>, May, 2017 [</w:t>
      </w:r>
      <w:hyperlink r:id="rId8" w:history="1">
        <w:r w:rsidRPr="0020093E">
          <w:rPr>
            <w:rStyle w:val="Hyperlink"/>
            <w:sz w:val="20"/>
            <w:szCs w:val="20"/>
          </w:rPr>
          <w:t>Link</w:t>
        </w:r>
      </w:hyperlink>
      <w:r w:rsidRPr="0020093E">
        <w:rPr>
          <w:sz w:val="20"/>
          <w:szCs w:val="20"/>
        </w:rPr>
        <w:t>]</w:t>
      </w:r>
      <w:r>
        <w:rPr>
          <w:sz w:val="20"/>
          <w:szCs w:val="20"/>
        </w:rPr>
        <w:t xml:space="preserve">; </w:t>
      </w:r>
      <w:r w:rsidRPr="0020093E">
        <w:rPr>
          <w:sz w:val="20"/>
          <w:szCs w:val="20"/>
        </w:rPr>
        <w:t xml:space="preserve"> </w:t>
      </w:r>
      <w:r w:rsidRPr="0020093E">
        <w:rPr>
          <w:color w:val="000000" w:themeColor="text1"/>
          <w:sz w:val="20"/>
          <w:szCs w:val="20"/>
        </w:rPr>
        <w:t xml:space="preserve">Michael Vasquez. “As Turning Point USA Grows, So Does Charlie Kirk’s Salary.” </w:t>
      </w:r>
      <w:r w:rsidRPr="0020093E">
        <w:rPr>
          <w:i/>
          <w:iCs/>
          <w:color w:val="000000" w:themeColor="text1"/>
          <w:sz w:val="20"/>
          <w:szCs w:val="20"/>
        </w:rPr>
        <w:t>CHE</w:t>
      </w:r>
      <w:r w:rsidRPr="0020093E">
        <w:rPr>
          <w:color w:val="000000" w:themeColor="text1"/>
          <w:sz w:val="20"/>
          <w:szCs w:val="20"/>
        </w:rPr>
        <w:t>, July 10, 2020 [</w:t>
      </w:r>
      <w:hyperlink r:id="rId9" w:history="1">
        <w:r w:rsidRPr="0020093E">
          <w:rPr>
            <w:rStyle w:val="Hyperlink"/>
            <w:sz w:val="20"/>
            <w:szCs w:val="20"/>
          </w:rPr>
          <w:t>Link</w:t>
        </w:r>
      </w:hyperlink>
      <w:r w:rsidRPr="0020093E">
        <w:rPr>
          <w:color w:val="000000" w:themeColor="text1"/>
          <w:sz w:val="20"/>
          <w:szCs w:val="20"/>
        </w:rPr>
        <w:t>].</w:t>
      </w:r>
    </w:p>
  </w:footnote>
  <w:footnote w:id="8">
    <w:p w14:paraId="271DFC2C" w14:textId="69E84837" w:rsidR="00FB47FA" w:rsidRPr="0020093E" w:rsidRDefault="00FB47FA" w:rsidP="001D7E87">
      <w:pPr>
        <w:pStyle w:val="FootnoteText"/>
        <w:spacing w:before="120" w:after="120"/>
      </w:pPr>
      <w:r w:rsidRPr="0020093E">
        <w:tab/>
      </w:r>
      <w:r w:rsidRPr="0020093E">
        <w:rPr>
          <w:rStyle w:val="FootnoteReference"/>
        </w:rPr>
        <w:footnoteRef/>
      </w:r>
      <w:r w:rsidRPr="0020093E">
        <w:t xml:space="preserve"> Goldie Blumenstyk</w:t>
      </w:r>
      <w:r w:rsidR="00D80327">
        <w:t>.</w:t>
      </w:r>
      <w:r w:rsidRPr="0020093E">
        <w:t xml:space="preserve"> “The Far Right’s ‘New Offensive Against Academia.’” </w:t>
      </w:r>
      <w:r w:rsidRPr="0020093E">
        <w:rPr>
          <w:i/>
          <w:iCs/>
        </w:rPr>
        <w:t>CHE</w:t>
      </w:r>
      <w:r w:rsidRPr="0020093E">
        <w:t>, Jan. 12, 2017 [</w:t>
      </w:r>
      <w:hyperlink r:id="rId10" w:history="1">
        <w:r w:rsidRPr="0020093E">
          <w:rPr>
            <w:rStyle w:val="Hyperlink"/>
          </w:rPr>
          <w:t>Link</w:t>
        </w:r>
      </w:hyperlink>
      <w:r w:rsidRPr="0020093E">
        <w:t xml:space="preserve">]; George Ciccariello-Maher. “Conservatives are the real campus thought police squashing academic freedom.” </w:t>
      </w:r>
      <w:r w:rsidRPr="0020093E">
        <w:rPr>
          <w:i/>
          <w:iCs/>
        </w:rPr>
        <w:t>Washington Post</w:t>
      </w:r>
      <w:r w:rsidRPr="0020093E">
        <w:t xml:space="preserve">, Oct. 10, 2017 [Link]; “AAUP Letter to M. Brian Blake, Provost, Drexel University,” Oct. 12, 2017; Hank Reichman. “George Ciccariello-Maher Resigns: ‘We are all a single outrage campaign away from having no rights at all.” </w:t>
      </w:r>
      <w:r w:rsidRPr="0020093E">
        <w:rPr>
          <w:i/>
          <w:iCs/>
        </w:rPr>
        <w:t>Academe Blog</w:t>
      </w:r>
      <w:r w:rsidRPr="0020093E">
        <w:t>, Dec. 28, 2017 [</w:t>
      </w:r>
      <w:hyperlink r:id="rId11" w:history="1">
        <w:r w:rsidRPr="0020093E">
          <w:rPr>
            <w:rStyle w:val="Hyperlink"/>
          </w:rPr>
          <w:t>Link</w:t>
        </w:r>
      </w:hyperlink>
      <w:r w:rsidRPr="0020093E">
        <w:t xml:space="preserve">]; Marwa Eltagouri. “Professor who tweeted, ‘All I want for Christmas is white genocide,’ resigns after year of threats.” </w:t>
      </w:r>
      <w:r w:rsidRPr="0020093E">
        <w:rPr>
          <w:i/>
          <w:iCs/>
        </w:rPr>
        <w:t>Washington Post</w:t>
      </w:r>
      <w:r w:rsidRPr="0020093E">
        <w:t>, Dec 29, 2017 [</w:t>
      </w:r>
      <w:hyperlink r:id="rId12" w:history="1">
        <w:r w:rsidRPr="0020093E">
          <w:rPr>
            <w:rStyle w:val="Hyperlink"/>
          </w:rPr>
          <w:t>Link</w:t>
        </w:r>
      </w:hyperlink>
      <w:r w:rsidRPr="0020093E">
        <w:t>].</w:t>
      </w:r>
    </w:p>
  </w:footnote>
  <w:footnote w:id="9">
    <w:p w14:paraId="3DAF8DBB" w14:textId="0C1A9566" w:rsidR="00540D46" w:rsidRDefault="00540D46">
      <w:pPr>
        <w:pStyle w:val="FootnoteText"/>
      </w:pPr>
      <w:r>
        <w:tab/>
      </w:r>
      <w:r>
        <w:rPr>
          <w:rStyle w:val="FootnoteReference"/>
        </w:rPr>
        <w:footnoteRef/>
      </w:r>
      <w:r>
        <w:t xml:space="preserve"> </w:t>
      </w:r>
      <w:r w:rsidR="00C55E71" w:rsidRPr="00553499">
        <w:rPr>
          <w:color w:val="000000" w:themeColor="text1"/>
        </w:rPr>
        <w:t>Coll</w:t>
      </w:r>
      <w:r w:rsidR="00C55E71">
        <w:rPr>
          <w:color w:val="000000" w:themeColor="text1"/>
        </w:rPr>
        <w:t>e</w:t>
      </w:r>
      <w:r w:rsidR="00C55E71" w:rsidRPr="00553499">
        <w:rPr>
          <w:color w:val="000000" w:themeColor="text1"/>
        </w:rPr>
        <w:t xml:space="preserve">en Flaherty. “Suspended for Standing Up to Fox News? Essex County College allegedly suspends a communications adjunct for comments about race on Fox News, but she’s fighting back with the tools of her trade.” </w:t>
      </w:r>
      <w:r w:rsidR="00C55E71" w:rsidRPr="00553499">
        <w:rPr>
          <w:i/>
          <w:iCs/>
          <w:color w:val="000000" w:themeColor="text1"/>
        </w:rPr>
        <w:t>IHE</w:t>
      </w:r>
      <w:r w:rsidR="00C55E71" w:rsidRPr="00553499">
        <w:rPr>
          <w:color w:val="000000" w:themeColor="text1"/>
        </w:rPr>
        <w:t>, June 21, 2017 [</w:t>
      </w:r>
      <w:hyperlink r:id="rId13" w:history="1">
        <w:r w:rsidR="00C55E71" w:rsidRPr="00553499">
          <w:rPr>
            <w:rStyle w:val="Hyperlink"/>
          </w:rPr>
          <w:t>Link</w:t>
        </w:r>
      </w:hyperlink>
      <w:r w:rsidR="00C55E71" w:rsidRPr="00553499">
        <w:rPr>
          <w:color w:val="000000" w:themeColor="text1"/>
        </w:rPr>
        <w:t>]</w:t>
      </w:r>
      <w:r w:rsidR="00C55E71" w:rsidRPr="00553499">
        <w:t xml:space="preserve">; Emma Pettitt and Megan Zahneis. “These Scholars Denounced the Police. Do Their Universities Have Their Backs?” </w:t>
      </w:r>
      <w:r w:rsidR="00C55E71" w:rsidRPr="00553499">
        <w:rPr>
          <w:i/>
          <w:iCs/>
        </w:rPr>
        <w:t>CHE</w:t>
      </w:r>
      <w:r w:rsidR="00C55E71" w:rsidRPr="00553499">
        <w:t>, Aug. 9, 2020 [</w:t>
      </w:r>
      <w:hyperlink r:id="rId14" w:history="1">
        <w:r w:rsidR="00C55E71" w:rsidRPr="00553499">
          <w:rPr>
            <w:rStyle w:val="Hyperlink"/>
          </w:rPr>
          <w:t>Link</w:t>
        </w:r>
      </w:hyperlink>
      <w:r w:rsidR="00C55E71" w:rsidRPr="00553499">
        <w:t>].</w:t>
      </w:r>
    </w:p>
  </w:footnote>
  <w:footnote w:id="10">
    <w:p w14:paraId="76475AFE" w14:textId="4CBB30A6" w:rsidR="00FB47FA" w:rsidRPr="0020093E" w:rsidRDefault="00FB47FA" w:rsidP="001D7E87">
      <w:pPr>
        <w:pStyle w:val="FootnoteText"/>
        <w:spacing w:before="120" w:after="120"/>
        <w:rPr>
          <w:color w:val="000000" w:themeColor="text1"/>
        </w:rPr>
      </w:pPr>
      <w:r>
        <w:rPr>
          <w:color w:val="000000" w:themeColor="text1"/>
        </w:rPr>
        <w:tab/>
      </w:r>
      <w:r w:rsidRPr="0020093E">
        <w:rPr>
          <w:rStyle w:val="FootnoteReference"/>
          <w:color w:val="000000" w:themeColor="text1"/>
        </w:rPr>
        <w:footnoteRef/>
      </w:r>
      <w:r w:rsidRPr="0020093E">
        <w:rPr>
          <w:color w:val="000000" w:themeColor="text1"/>
        </w:rPr>
        <w:t xml:space="preserve"> </w:t>
      </w:r>
      <w:r w:rsidR="00966D76" w:rsidRPr="0020093E">
        <w:rPr>
          <w:color w:val="000000" w:themeColor="text1"/>
        </w:rPr>
        <w:t>AAUP Report</w:t>
      </w:r>
      <w:r w:rsidR="00D80327">
        <w:rPr>
          <w:color w:val="000000" w:themeColor="text1"/>
        </w:rPr>
        <w:t>.</w:t>
      </w:r>
      <w:r w:rsidR="00966D76" w:rsidRPr="0020093E">
        <w:rPr>
          <w:color w:val="000000" w:themeColor="text1"/>
        </w:rPr>
        <w:t xml:space="preserve"> “50 Cases of Targeted Harassment.”</w:t>
      </w:r>
      <w:r w:rsidR="00966D76">
        <w:rPr>
          <w:color w:val="000000" w:themeColor="text1"/>
        </w:rPr>
        <w:t xml:space="preserve">; </w:t>
      </w:r>
      <w:r w:rsidRPr="0020093E">
        <w:rPr>
          <w:color w:val="000000" w:themeColor="text1"/>
        </w:rPr>
        <w:t>Abby L. Ferber</w:t>
      </w:r>
      <w:r w:rsidR="00D80327">
        <w:rPr>
          <w:color w:val="000000" w:themeColor="text1"/>
        </w:rPr>
        <w:t>.</w:t>
      </w:r>
      <w:r w:rsidRPr="0020093E">
        <w:rPr>
          <w:color w:val="000000" w:themeColor="text1"/>
        </w:rPr>
        <w:t xml:space="preserve"> “Are You Willing to Die for This Work?” Public Targeted Online Harassment in Higher Education: SWS Presidential Address.”</w:t>
      </w:r>
      <w:r w:rsidRPr="0020093E">
        <w:rPr>
          <w:i/>
          <w:iCs/>
          <w:color w:val="000000" w:themeColor="text1"/>
        </w:rPr>
        <w:t xml:space="preserve"> Gender &amp; Society</w:t>
      </w:r>
      <w:r w:rsidRPr="0020093E">
        <w:rPr>
          <w:color w:val="000000" w:themeColor="text1"/>
        </w:rPr>
        <w:t xml:space="preserve"> 32, no. 3 (2018): 301-320 [</w:t>
      </w:r>
      <w:hyperlink r:id="rId15" w:anchor="articleCitationDownloadContainer" w:history="1">
        <w:r w:rsidRPr="0020093E">
          <w:rPr>
            <w:rStyle w:val="Hyperlink"/>
          </w:rPr>
          <w:t>Link</w:t>
        </w:r>
      </w:hyperlink>
      <w:r w:rsidRPr="0020093E">
        <w:rPr>
          <w:color w:val="000000" w:themeColor="text1"/>
        </w:rPr>
        <w:t>]; Sociologists for Women in Society</w:t>
      </w:r>
      <w:r w:rsidR="00D80327">
        <w:rPr>
          <w:color w:val="000000" w:themeColor="text1"/>
        </w:rPr>
        <w:t>.</w:t>
      </w:r>
      <w:r w:rsidRPr="0020093E">
        <w:rPr>
          <w:color w:val="000000" w:themeColor="text1"/>
        </w:rPr>
        <w:t xml:space="preserve"> “Faculty Under Attack” [List of Resources for Cyberbullying], [</w:t>
      </w:r>
      <w:hyperlink r:id="rId16" w:history="1">
        <w:r w:rsidRPr="0020093E">
          <w:rPr>
            <w:rStyle w:val="Hyperlink"/>
          </w:rPr>
          <w:t>Link</w:t>
        </w:r>
      </w:hyperlink>
      <w:r w:rsidRPr="0020093E">
        <w:rPr>
          <w:color w:val="000000" w:themeColor="text1"/>
        </w:rPr>
        <w:t>]; Tressie McMillan Cottom</w:t>
      </w:r>
      <w:r w:rsidR="00D80327">
        <w:rPr>
          <w:color w:val="000000" w:themeColor="text1"/>
        </w:rPr>
        <w:t>.</w:t>
      </w:r>
      <w:r w:rsidRPr="0020093E">
        <w:rPr>
          <w:color w:val="000000" w:themeColor="text1"/>
        </w:rPr>
        <w:t xml:space="preserve"> “Academic Outrage: When the Culture Wars Go Digital.” </w:t>
      </w:r>
      <w:r w:rsidRPr="0020093E">
        <w:rPr>
          <w:i/>
          <w:iCs/>
          <w:color w:val="000000" w:themeColor="text1"/>
        </w:rPr>
        <w:t>Personal Blog</w:t>
      </w:r>
      <w:r w:rsidRPr="0020093E">
        <w:rPr>
          <w:color w:val="000000" w:themeColor="text1"/>
        </w:rPr>
        <w:t>, 2017 [</w:t>
      </w:r>
      <w:hyperlink r:id="rId17" w:history="1">
        <w:r w:rsidRPr="0020093E">
          <w:rPr>
            <w:rStyle w:val="Hyperlink"/>
          </w:rPr>
          <w:t>Link</w:t>
        </w:r>
      </w:hyperlink>
      <w:r w:rsidRPr="0020093E">
        <w:rPr>
          <w:color w:val="000000" w:themeColor="text1"/>
        </w:rPr>
        <w:t xml:space="preserve">]. Hans-Joerg Tiede, senior program officer in the AAUP’s Department of Academic Freedom, notes that a concerning new element in academic freedom cases is the degree to which professors </w:t>
      </w:r>
      <w:r w:rsidR="00D80327">
        <w:rPr>
          <w:color w:val="000000" w:themeColor="text1"/>
        </w:rPr>
        <w:t xml:space="preserve">are </w:t>
      </w:r>
      <w:r w:rsidRPr="0020093E">
        <w:rPr>
          <w:color w:val="000000" w:themeColor="text1"/>
        </w:rPr>
        <w:t xml:space="preserve">now subject to threats of physical violence, particularly sexual assault: Peter Schmidt. “Professor’s Growing Risk: Harassment for Things They Never Really Said.” </w:t>
      </w:r>
      <w:r w:rsidRPr="0020093E">
        <w:rPr>
          <w:i/>
          <w:iCs/>
          <w:color w:val="000000" w:themeColor="text1"/>
        </w:rPr>
        <w:t>CHE Focus</w:t>
      </w:r>
      <w:r w:rsidRPr="0020093E">
        <w:rPr>
          <w:color w:val="000000" w:themeColor="text1"/>
        </w:rPr>
        <w:t>, Oct. 2017, p. 18.</w:t>
      </w:r>
    </w:p>
  </w:footnote>
  <w:footnote w:id="11">
    <w:p w14:paraId="07926DCE" w14:textId="54021125" w:rsidR="00FB47FA" w:rsidRPr="0020093E" w:rsidRDefault="00FB47FA" w:rsidP="001D7E87">
      <w:pPr>
        <w:pStyle w:val="FootnoteText"/>
        <w:spacing w:before="120" w:after="120"/>
        <w:rPr>
          <w:color w:val="000000" w:themeColor="text1"/>
        </w:rPr>
      </w:pPr>
      <w:r>
        <w:rPr>
          <w:color w:val="000000" w:themeColor="text1"/>
        </w:rPr>
        <w:tab/>
      </w:r>
      <w:r w:rsidRPr="0020093E">
        <w:rPr>
          <w:rStyle w:val="FootnoteReference"/>
          <w:color w:val="000000" w:themeColor="text1"/>
        </w:rPr>
        <w:footnoteRef/>
      </w:r>
      <w:r w:rsidRPr="0020093E">
        <w:rPr>
          <w:color w:val="000000" w:themeColor="text1"/>
        </w:rPr>
        <w:t xml:space="preserve"> </w:t>
      </w:r>
      <w:r>
        <w:rPr>
          <w:color w:val="000000" w:themeColor="text1"/>
        </w:rPr>
        <w:t>Anita Levy</w:t>
      </w:r>
      <w:r w:rsidR="00D80327">
        <w:rPr>
          <w:color w:val="000000" w:themeColor="text1"/>
        </w:rPr>
        <w:t>.</w:t>
      </w:r>
      <w:r>
        <w:rPr>
          <w:color w:val="000000" w:themeColor="text1"/>
        </w:rPr>
        <w:t xml:space="preserve"> “State of the Professor: Targeted Harassment—Faculty Report Back.” </w:t>
      </w:r>
      <w:r w:rsidRPr="00955BF9">
        <w:rPr>
          <w:i/>
          <w:iCs/>
          <w:color w:val="000000" w:themeColor="text1"/>
        </w:rPr>
        <w:t>AAUP Report</w:t>
      </w:r>
      <w:r>
        <w:rPr>
          <w:color w:val="000000" w:themeColor="text1"/>
        </w:rPr>
        <w:t>, Jan-Feb. 2018 [</w:t>
      </w:r>
      <w:hyperlink r:id="rId18" w:anchor=".X1jyjNZ7mhc" w:history="1">
        <w:r w:rsidRPr="00955BF9">
          <w:rPr>
            <w:rStyle w:val="Hyperlink"/>
          </w:rPr>
          <w:t>Link</w:t>
        </w:r>
      </w:hyperlink>
      <w:r>
        <w:rPr>
          <w:color w:val="000000" w:themeColor="text1"/>
        </w:rPr>
        <w:t xml:space="preserve">]. </w:t>
      </w:r>
    </w:p>
  </w:footnote>
  <w:footnote w:id="12">
    <w:p w14:paraId="682C9356" w14:textId="5E850505" w:rsidR="00FB47FA" w:rsidRPr="0020093E" w:rsidRDefault="00FB47FA" w:rsidP="001D7E87">
      <w:pPr>
        <w:pStyle w:val="FootnoteText"/>
        <w:spacing w:before="120" w:after="120"/>
        <w:rPr>
          <w:color w:val="000000" w:themeColor="text1"/>
        </w:rPr>
      </w:pPr>
      <w:r>
        <w:rPr>
          <w:color w:val="000000" w:themeColor="text1"/>
        </w:rPr>
        <w:tab/>
      </w:r>
      <w:r w:rsidRPr="0020093E">
        <w:rPr>
          <w:rStyle w:val="FootnoteReference"/>
          <w:color w:val="000000" w:themeColor="text1"/>
        </w:rPr>
        <w:footnoteRef/>
      </w:r>
      <w:r w:rsidRPr="0020093E">
        <w:rPr>
          <w:color w:val="000000" w:themeColor="text1"/>
        </w:rPr>
        <w:t xml:space="preserve"> Keeanga-Yamahtta Taylor, “Statement on Haymarket Books Facebook page,” May 31, 2017, [</w:t>
      </w:r>
      <w:hyperlink r:id="rId19" w:history="1">
        <w:r w:rsidRPr="0020093E">
          <w:rPr>
            <w:rStyle w:val="Hyperlink"/>
          </w:rPr>
          <w:t>Link</w:t>
        </w:r>
      </w:hyperlink>
      <w:r w:rsidRPr="0020093E">
        <w:rPr>
          <w:color w:val="000000" w:themeColor="text1"/>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7000B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D64329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4A264D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31AE5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30F0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CEF62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7AA43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9627D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BEADF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EC55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5F4A23"/>
    <w:multiLevelType w:val="hybridMultilevel"/>
    <w:tmpl w:val="E5544B30"/>
    <w:lvl w:ilvl="0" w:tplc="D4ECF0FC">
      <w:start w:val="1"/>
      <w:numFmt w:val="bullet"/>
      <w:lvlText w:val=""/>
      <w:lvlJc w:val="left"/>
      <w:pPr>
        <w:tabs>
          <w:tab w:val="num" w:pos="720"/>
        </w:tabs>
        <w:ind w:left="720" w:hanging="360"/>
      </w:pPr>
      <w:rPr>
        <w:rFonts w:ascii="Wingdings 3" w:hAnsi="Wingdings 3" w:hint="default"/>
      </w:rPr>
    </w:lvl>
    <w:lvl w:ilvl="1" w:tplc="B958F508" w:tentative="1">
      <w:start w:val="1"/>
      <w:numFmt w:val="bullet"/>
      <w:lvlText w:val=""/>
      <w:lvlJc w:val="left"/>
      <w:pPr>
        <w:tabs>
          <w:tab w:val="num" w:pos="1440"/>
        </w:tabs>
        <w:ind w:left="1440" w:hanging="360"/>
      </w:pPr>
      <w:rPr>
        <w:rFonts w:ascii="Wingdings 3" w:hAnsi="Wingdings 3" w:hint="default"/>
      </w:rPr>
    </w:lvl>
    <w:lvl w:ilvl="2" w:tplc="E552375A" w:tentative="1">
      <w:start w:val="1"/>
      <w:numFmt w:val="bullet"/>
      <w:lvlText w:val=""/>
      <w:lvlJc w:val="left"/>
      <w:pPr>
        <w:tabs>
          <w:tab w:val="num" w:pos="2160"/>
        </w:tabs>
        <w:ind w:left="2160" w:hanging="360"/>
      </w:pPr>
      <w:rPr>
        <w:rFonts w:ascii="Wingdings 3" w:hAnsi="Wingdings 3" w:hint="default"/>
      </w:rPr>
    </w:lvl>
    <w:lvl w:ilvl="3" w:tplc="EF3A2FFE" w:tentative="1">
      <w:start w:val="1"/>
      <w:numFmt w:val="bullet"/>
      <w:lvlText w:val=""/>
      <w:lvlJc w:val="left"/>
      <w:pPr>
        <w:tabs>
          <w:tab w:val="num" w:pos="2880"/>
        </w:tabs>
        <w:ind w:left="2880" w:hanging="360"/>
      </w:pPr>
      <w:rPr>
        <w:rFonts w:ascii="Wingdings 3" w:hAnsi="Wingdings 3" w:hint="default"/>
      </w:rPr>
    </w:lvl>
    <w:lvl w:ilvl="4" w:tplc="93082C88" w:tentative="1">
      <w:start w:val="1"/>
      <w:numFmt w:val="bullet"/>
      <w:lvlText w:val=""/>
      <w:lvlJc w:val="left"/>
      <w:pPr>
        <w:tabs>
          <w:tab w:val="num" w:pos="3600"/>
        </w:tabs>
        <w:ind w:left="3600" w:hanging="360"/>
      </w:pPr>
      <w:rPr>
        <w:rFonts w:ascii="Wingdings 3" w:hAnsi="Wingdings 3" w:hint="default"/>
      </w:rPr>
    </w:lvl>
    <w:lvl w:ilvl="5" w:tplc="A1C6CE98" w:tentative="1">
      <w:start w:val="1"/>
      <w:numFmt w:val="bullet"/>
      <w:lvlText w:val=""/>
      <w:lvlJc w:val="left"/>
      <w:pPr>
        <w:tabs>
          <w:tab w:val="num" w:pos="4320"/>
        </w:tabs>
        <w:ind w:left="4320" w:hanging="360"/>
      </w:pPr>
      <w:rPr>
        <w:rFonts w:ascii="Wingdings 3" w:hAnsi="Wingdings 3" w:hint="default"/>
      </w:rPr>
    </w:lvl>
    <w:lvl w:ilvl="6" w:tplc="54A469BA" w:tentative="1">
      <w:start w:val="1"/>
      <w:numFmt w:val="bullet"/>
      <w:lvlText w:val=""/>
      <w:lvlJc w:val="left"/>
      <w:pPr>
        <w:tabs>
          <w:tab w:val="num" w:pos="5040"/>
        </w:tabs>
        <w:ind w:left="5040" w:hanging="360"/>
      </w:pPr>
      <w:rPr>
        <w:rFonts w:ascii="Wingdings 3" w:hAnsi="Wingdings 3" w:hint="default"/>
      </w:rPr>
    </w:lvl>
    <w:lvl w:ilvl="7" w:tplc="67466470" w:tentative="1">
      <w:start w:val="1"/>
      <w:numFmt w:val="bullet"/>
      <w:lvlText w:val=""/>
      <w:lvlJc w:val="left"/>
      <w:pPr>
        <w:tabs>
          <w:tab w:val="num" w:pos="5760"/>
        </w:tabs>
        <w:ind w:left="5760" w:hanging="360"/>
      </w:pPr>
      <w:rPr>
        <w:rFonts w:ascii="Wingdings 3" w:hAnsi="Wingdings 3" w:hint="default"/>
      </w:rPr>
    </w:lvl>
    <w:lvl w:ilvl="8" w:tplc="A5DEB1C6"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21C7165B"/>
    <w:multiLevelType w:val="hybridMultilevel"/>
    <w:tmpl w:val="878A3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94159C"/>
    <w:multiLevelType w:val="hybridMultilevel"/>
    <w:tmpl w:val="6CE6112C"/>
    <w:lvl w:ilvl="0" w:tplc="1D20D86A">
      <w:start w:val="1"/>
      <w:numFmt w:val="bullet"/>
      <w:lvlText w:val=""/>
      <w:lvlJc w:val="left"/>
      <w:pPr>
        <w:tabs>
          <w:tab w:val="num" w:pos="720"/>
        </w:tabs>
        <w:ind w:left="720" w:hanging="360"/>
      </w:pPr>
      <w:rPr>
        <w:rFonts w:ascii="Wingdings 3" w:hAnsi="Wingdings 3" w:hint="default"/>
      </w:rPr>
    </w:lvl>
    <w:lvl w:ilvl="1" w:tplc="09B6EE90" w:tentative="1">
      <w:start w:val="1"/>
      <w:numFmt w:val="bullet"/>
      <w:lvlText w:val=""/>
      <w:lvlJc w:val="left"/>
      <w:pPr>
        <w:tabs>
          <w:tab w:val="num" w:pos="1440"/>
        </w:tabs>
        <w:ind w:left="1440" w:hanging="360"/>
      </w:pPr>
      <w:rPr>
        <w:rFonts w:ascii="Wingdings 3" w:hAnsi="Wingdings 3" w:hint="default"/>
      </w:rPr>
    </w:lvl>
    <w:lvl w:ilvl="2" w:tplc="B878421A" w:tentative="1">
      <w:start w:val="1"/>
      <w:numFmt w:val="bullet"/>
      <w:lvlText w:val=""/>
      <w:lvlJc w:val="left"/>
      <w:pPr>
        <w:tabs>
          <w:tab w:val="num" w:pos="2160"/>
        </w:tabs>
        <w:ind w:left="2160" w:hanging="360"/>
      </w:pPr>
      <w:rPr>
        <w:rFonts w:ascii="Wingdings 3" w:hAnsi="Wingdings 3" w:hint="default"/>
      </w:rPr>
    </w:lvl>
    <w:lvl w:ilvl="3" w:tplc="69E4D4E2" w:tentative="1">
      <w:start w:val="1"/>
      <w:numFmt w:val="bullet"/>
      <w:lvlText w:val=""/>
      <w:lvlJc w:val="left"/>
      <w:pPr>
        <w:tabs>
          <w:tab w:val="num" w:pos="2880"/>
        </w:tabs>
        <w:ind w:left="2880" w:hanging="360"/>
      </w:pPr>
      <w:rPr>
        <w:rFonts w:ascii="Wingdings 3" w:hAnsi="Wingdings 3" w:hint="default"/>
      </w:rPr>
    </w:lvl>
    <w:lvl w:ilvl="4" w:tplc="9432AB44" w:tentative="1">
      <w:start w:val="1"/>
      <w:numFmt w:val="bullet"/>
      <w:lvlText w:val=""/>
      <w:lvlJc w:val="left"/>
      <w:pPr>
        <w:tabs>
          <w:tab w:val="num" w:pos="3600"/>
        </w:tabs>
        <w:ind w:left="3600" w:hanging="360"/>
      </w:pPr>
      <w:rPr>
        <w:rFonts w:ascii="Wingdings 3" w:hAnsi="Wingdings 3" w:hint="default"/>
      </w:rPr>
    </w:lvl>
    <w:lvl w:ilvl="5" w:tplc="FE28CFA2" w:tentative="1">
      <w:start w:val="1"/>
      <w:numFmt w:val="bullet"/>
      <w:lvlText w:val=""/>
      <w:lvlJc w:val="left"/>
      <w:pPr>
        <w:tabs>
          <w:tab w:val="num" w:pos="4320"/>
        </w:tabs>
        <w:ind w:left="4320" w:hanging="360"/>
      </w:pPr>
      <w:rPr>
        <w:rFonts w:ascii="Wingdings 3" w:hAnsi="Wingdings 3" w:hint="default"/>
      </w:rPr>
    </w:lvl>
    <w:lvl w:ilvl="6" w:tplc="F286AAA6" w:tentative="1">
      <w:start w:val="1"/>
      <w:numFmt w:val="bullet"/>
      <w:lvlText w:val=""/>
      <w:lvlJc w:val="left"/>
      <w:pPr>
        <w:tabs>
          <w:tab w:val="num" w:pos="5040"/>
        </w:tabs>
        <w:ind w:left="5040" w:hanging="360"/>
      </w:pPr>
      <w:rPr>
        <w:rFonts w:ascii="Wingdings 3" w:hAnsi="Wingdings 3" w:hint="default"/>
      </w:rPr>
    </w:lvl>
    <w:lvl w:ilvl="7" w:tplc="4BE26A20" w:tentative="1">
      <w:start w:val="1"/>
      <w:numFmt w:val="bullet"/>
      <w:lvlText w:val=""/>
      <w:lvlJc w:val="left"/>
      <w:pPr>
        <w:tabs>
          <w:tab w:val="num" w:pos="5760"/>
        </w:tabs>
        <w:ind w:left="5760" w:hanging="360"/>
      </w:pPr>
      <w:rPr>
        <w:rFonts w:ascii="Wingdings 3" w:hAnsi="Wingdings 3" w:hint="default"/>
      </w:rPr>
    </w:lvl>
    <w:lvl w:ilvl="8" w:tplc="B66278EC"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771354C1"/>
    <w:multiLevelType w:val="hybridMultilevel"/>
    <w:tmpl w:val="75DAC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58011B"/>
    <w:multiLevelType w:val="hybridMultilevel"/>
    <w:tmpl w:val="49989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9"/>
  </w:num>
  <w:num w:numId="4">
    <w:abstractNumId w:val="9"/>
  </w:num>
  <w:num w:numId="5">
    <w:abstractNumId w:val="11"/>
  </w:num>
  <w:num w:numId="6">
    <w:abstractNumId w:val="14"/>
  </w:num>
  <w:num w:numId="7">
    <w:abstractNumId w:val="13"/>
  </w:num>
  <w:num w:numId="8">
    <w:abstractNumId w:val="10"/>
  </w:num>
  <w:num w:numId="9">
    <w:abstractNumId w:val="12"/>
  </w:num>
  <w:num w:numId="10">
    <w:abstractNumId w:val="0"/>
  </w:num>
  <w:num w:numId="11">
    <w:abstractNumId w:val="1"/>
  </w:num>
  <w:num w:numId="12">
    <w:abstractNumId w:val="2"/>
  </w:num>
  <w:num w:numId="13">
    <w:abstractNumId w:val="3"/>
  </w:num>
  <w:num w:numId="14">
    <w:abstractNumId w:val="8"/>
  </w:num>
  <w:num w:numId="15">
    <w:abstractNumId w:val="4"/>
  </w:num>
  <w:num w:numId="16">
    <w:abstractNumId w:val="5"/>
  </w:num>
  <w:num w:numId="17">
    <w:abstractNumId w:val="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qZCiepk62CTU8oE7+B1Gge1BuC+rW5Fn60BV1zIQ+w63/fbOnlQtwvenFepV829s58pn/TuIfCOhpb52ISiLIQ==" w:salt="hQarvGHcKUo3KdILV84SOA=="/>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B16"/>
    <w:rsid w:val="000021F5"/>
    <w:rsid w:val="000022F9"/>
    <w:rsid w:val="000061E1"/>
    <w:rsid w:val="00006A41"/>
    <w:rsid w:val="0000767B"/>
    <w:rsid w:val="000100D1"/>
    <w:rsid w:val="00017257"/>
    <w:rsid w:val="00017E16"/>
    <w:rsid w:val="000227C2"/>
    <w:rsid w:val="00027ACB"/>
    <w:rsid w:val="0004368B"/>
    <w:rsid w:val="00045C01"/>
    <w:rsid w:val="000531EF"/>
    <w:rsid w:val="0006399A"/>
    <w:rsid w:val="0006484E"/>
    <w:rsid w:val="00067397"/>
    <w:rsid w:val="0007148C"/>
    <w:rsid w:val="00071663"/>
    <w:rsid w:val="00073C60"/>
    <w:rsid w:val="0008158F"/>
    <w:rsid w:val="000A0D39"/>
    <w:rsid w:val="000A4FE5"/>
    <w:rsid w:val="000A5F41"/>
    <w:rsid w:val="000B6119"/>
    <w:rsid w:val="000C66D3"/>
    <w:rsid w:val="000C7D03"/>
    <w:rsid w:val="000C7D7D"/>
    <w:rsid w:val="000D6DB7"/>
    <w:rsid w:val="000E63B7"/>
    <w:rsid w:val="000F6F2D"/>
    <w:rsid w:val="001015A2"/>
    <w:rsid w:val="001067AB"/>
    <w:rsid w:val="00112B0C"/>
    <w:rsid w:val="00116683"/>
    <w:rsid w:val="00122405"/>
    <w:rsid w:val="00125C4B"/>
    <w:rsid w:val="00130789"/>
    <w:rsid w:val="0013187E"/>
    <w:rsid w:val="0013353C"/>
    <w:rsid w:val="00135CC0"/>
    <w:rsid w:val="00151DF3"/>
    <w:rsid w:val="00163CF4"/>
    <w:rsid w:val="00164DD1"/>
    <w:rsid w:val="00166DF8"/>
    <w:rsid w:val="00167D14"/>
    <w:rsid w:val="0017028B"/>
    <w:rsid w:val="00170763"/>
    <w:rsid w:val="00171057"/>
    <w:rsid w:val="00171BD2"/>
    <w:rsid w:val="0018531B"/>
    <w:rsid w:val="0019595E"/>
    <w:rsid w:val="001A2002"/>
    <w:rsid w:val="001A5E24"/>
    <w:rsid w:val="001B330C"/>
    <w:rsid w:val="001B382E"/>
    <w:rsid w:val="001B3F28"/>
    <w:rsid w:val="001B7A1A"/>
    <w:rsid w:val="001C0431"/>
    <w:rsid w:val="001C7EC1"/>
    <w:rsid w:val="001D29B1"/>
    <w:rsid w:val="001D5485"/>
    <w:rsid w:val="001D610A"/>
    <w:rsid w:val="001D7E87"/>
    <w:rsid w:val="0020093E"/>
    <w:rsid w:val="00203F1F"/>
    <w:rsid w:val="002046B0"/>
    <w:rsid w:val="00205F09"/>
    <w:rsid w:val="00207000"/>
    <w:rsid w:val="0021060A"/>
    <w:rsid w:val="00230B95"/>
    <w:rsid w:val="00233FAF"/>
    <w:rsid w:val="002377A2"/>
    <w:rsid w:val="00240D52"/>
    <w:rsid w:val="002439FE"/>
    <w:rsid w:val="002606AB"/>
    <w:rsid w:val="00264F83"/>
    <w:rsid w:val="002656D0"/>
    <w:rsid w:val="00274AD0"/>
    <w:rsid w:val="00276C04"/>
    <w:rsid w:val="0028348F"/>
    <w:rsid w:val="00284914"/>
    <w:rsid w:val="00284E54"/>
    <w:rsid w:val="00293706"/>
    <w:rsid w:val="00297D10"/>
    <w:rsid w:val="002C2507"/>
    <w:rsid w:val="002C64B3"/>
    <w:rsid w:val="002D34AB"/>
    <w:rsid w:val="002D358F"/>
    <w:rsid w:val="002D770A"/>
    <w:rsid w:val="002F0401"/>
    <w:rsid w:val="002F3857"/>
    <w:rsid w:val="002F5DEC"/>
    <w:rsid w:val="002F7003"/>
    <w:rsid w:val="002F75BE"/>
    <w:rsid w:val="00305187"/>
    <w:rsid w:val="00306C72"/>
    <w:rsid w:val="00311134"/>
    <w:rsid w:val="00317884"/>
    <w:rsid w:val="003217F4"/>
    <w:rsid w:val="003232E2"/>
    <w:rsid w:val="0032769D"/>
    <w:rsid w:val="003314A0"/>
    <w:rsid w:val="00342BED"/>
    <w:rsid w:val="00350226"/>
    <w:rsid w:val="00351EA4"/>
    <w:rsid w:val="00351F0C"/>
    <w:rsid w:val="00352A36"/>
    <w:rsid w:val="003557C7"/>
    <w:rsid w:val="003755F6"/>
    <w:rsid w:val="003802C3"/>
    <w:rsid w:val="0038165E"/>
    <w:rsid w:val="00381CF4"/>
    <w:rsid w:val="00385CD0"/>
    <w:rsid w:val="00394B0C"/>
    <w:rsid w:val="003A2A2B"/>
    <w:rsid w:val="003A43B0"/>
    <w:rsid w:val="003A5C53"/>
    <w:rsid w:val="003B56C7"/>
    <w:rsid w:val="003B6212"/>
    <w:rsid w:val="003C194F"/>
    <w:rsid w:val="003C767E"/>
    <w:rsid w:val="003D613F"/>
    <w:rsid w:val="003D6811"/>
    <w:rsid w:val="003E2D79"/>
    <w:rsid w:val="003E76A9"/>
    <w:rsid w:val="003F2D27"/>
    <w:rsid w:val="003F6EBC"/>
    <w:rsid w:val="00400F1B"/>
    <w:rsid w:val="00405741"/>
    <w:rsid w:val="00405810"/>
    <w:rsid w:val="00405CA1"/>
    <w:rsid w:val="004079C8"/>
    <w:rsid w:val="00407AC9"/>
    <w:rsid w:val="0041388F"/>
    <w:rsid w:val="0041768F"/>
    <w:rsid w:val="00417E2A"/>
    <w:rsid w:val="00432AF7"/>
    <w:rsid w:val="00434B14"/>
    <w:rsid w:val="00435BE9"/>
    <w:rsid w:val="00441CF1"/>
    <w:rsid w:val="00443A2F"/>
    <w:rsid w:val="00460D99"/>
    <w:rsid w:val="004631BF"/>
    <w:rsid w:val="00463DCF"/>
    <w:rsid w:val="0046703A"/>
    <w:rsid w:val="00467D08"/>
    <w:rsid w:val="00470E28"/>
    <w:rsid w:val="004770BC"/>
    <w:rsid w:val="004771C2"/>
    <w:rsid w:val="00483477"/>
    <w:rsid w:val="00492560"/>
    <w:rsid w:val="00495493"/>
    <w:rsid w:val="004A0B42"/>
    <w:rsid w:val="004A13D6"/>
    <w:rsid w:val="004A2AE3"/>
    <w:rsid w:val="004B2318"/>
    <w:rsid w:val="004B628C"/>
    <w:rsid w:val="004C3E50"/>
    <w:rsid w:val="004C6FB1"/>
    <w:rsid w:val="004D5714"/>
    <w:rsid w:val="004D7A71"/>
    <w:rsid w:val="004E40F6"/>
    <w:rsid w:val="004F20E4"/>
    <w:rsid w:val="0050092E"/>
    <w:rsid w:val="00504C37"/>
    <w:rsid w:val="00506EBC"/>
    <w:rsid w:val="00540ADD"/>
    <w:rsid w:val="00540D46"/>
    <w:rsid w:val="005464F7"/>
    <w:rsid w:val="00546997"/>
    <w:rsid w:val="00550D6F"/>
    <w:rsid w:val="005651F2"/>
    <w:rsid w:val="00565401"/>
    <w:rsid w:val="00571C70"/>
    <w:rsid w:val="005A203B"/>
    <w:rsid w:val="005A4CE1"/>
    <w:rsid w:val="005A7AA3"/>
    <w:rsid w:val="005C2F43"/>
    <w:rsid w:val="005C5728"/>
    <w:rsid w:val="005E337C"/>
    <w:rsid w:val="005E5CAA"/>
    <w:rsid w:val="005F0B94"/>
    <w:rsid w:val="005F267B"/>
    <w:rsid w:val="005F7DBC"/>
    <w:rsid w:val="006127FE"/>
    <w:rsid w:val="0062573B"/>
    <w:rsid w:val="006352BF"/>
    <w:rsid w:val="00646A6E"/>
    <w:rsid w:val="00653603"/>
    <w:rsid w:val="0065364D"/>
    <w:rsid w:val="00662205"/>
    <w:rsid w:val="00664739"/>
    <w:rsid w:val="0066534E"/>
    <w:rsid w:val="00666354"/>
    <w:rsid w:val="00667D1B"/>
    <w:rsid w:val="00685D0D"/>
    <w:rsid w:val="006920DF"/>
    <w:rsid w:val="006A57C5"/>
    <w:rsid w:val="006B0B63"/>
    <w:rsid w:val="006B1258"/>
    <w:rsid w:val="006B397D"/>
    <w:rsid w:val="006B5629"/>
    <w:rsid w:val="006B5820"/>
    <w:rsid w:val="006C09C3"/>
    <w:rsid w:val="006C0B12"/>
    <w:rsid w:val="006C1D56"/>
    <w:rsid w:val="006C426B"/>
    <w:rsid w:val="006C5D20"/>
    <w:rsid w:val="006C5FC8"/>
    <w:rsid w:val="006C74F3"/>
    <w:rsid w:val="006D3A82"/>
    <w:rsid w:val="006D55BD"/>
    <w:rsid w:val="006D607C"/>
    <w:rsid w:val="006E1524"/>
    <w:rsid w:val="006F35A6"/>
    <w:rsid w:val="006F4B84"/>
    <w:rsid w:val="006F76C9"/>
    <w:rsid w:val="00702286"/>
    <w:rsid w:val="0070655C"/>
    <w:rsid w:val="00714738"/>
    <w:rsid w:val="007150B8"/>
    <w:rsid w:val="0072220C"/>
    <w:rsid w:val="007237AF"/>
    <w:rsid w:val="00723FA6"/>
    <w:rsid w:val="00727D9E"/>
    <w:rsid w:val="00730CBB"/>
    <w:rsid w:val="0073326E"/>
    <w:rsid w:val="00734C64"/>
    <w:rsid w:val="00740C36"/>
    <w:rsid w:val="0074329F"/>
    <w:rsid w:val="007440B1"/>
    <w:rsid w:val="00745EC4"/>
    <w:rsid w:val="007460E8"/>
    <w:rsid w:val="007463C8"/>
    <w:rsid w:val="00750CD9"/>
    <w:rsid w:val="00757A33"/>
    <w:rsid w:val="0076279C"/>
    <w:rsid w:val="00766DAD"/>
    <w:rsid w:val="0077266E"/>
    <w:rsid w:val="00775AA3"/>
    <w:rsid w:val="007830F4"/>
    <w:rsid w:val="00793B4E"/>
    <w:rsid w:val="00796FC3"/>
    <w:rsid w:val="007A2278"/>
    <w:rsid w:val="007A6950"/>
    <w:rsid w:val="007A7B5C"/>
    <w:rsid w:val="007B1CBF"/>
    <w:rsid w:val="007B3C32"/>
    <w:rsid w:val="007C0A8F"/>
    <w:rsid w:val="007C2448"/>
    <w:rsid w:val="007C6556"/>
    <w:rsid w:val="007D0629"/>
    <w:rsid w:val="007E1862"/>
    <w:rsid w:val="0080083D"/>
    <w:rsid w:val="00801AC3"/>
    <w:rsid w:val="00804110"/>
    <w:rsid w:val="0080496B"/>
    <w:rsid w:val="00804E50"/>
    <w:rsid w:val="00810214"/>
    <w:rsid w:val="00841CC1"/>
    <w:rsid w:val="0084346F"/>
    <w:rsid w:val="00845E5D"/>
    <w:rsid w:val="00850F4C"/>
    <w:rsid w:val="00853B53"/>
    <w:rsid w:val="00857023"/>
    <w:rsid w:val="008576E6"/>
    <w:rsid w:val="0085788E"/>
    <w:rsid w:val="00860B8E"/>
    <w:rsid w:val="0086136C"/>
    <w:rsid w:val="00862A79"/>
    <w:rsid w:val="00864811"/>
    <w:rsid w:val="008651BE"/>
    <w:rsid w:val="008722C1"/>
    <w:rsid w:val="00874566"/>
    <w:rsid w:val="008767BD"/>
    <w:rsid w:val="008800EA"/>
    <w:rsid w:val="00881702"/>
    <w:rsid w:val="00881B0F"/>
    <w:rsid w:val="00882505"/>
    <w:rsid w:val="00887BE9"/>
    <w:rsid w:val="008934A4"/>
    <w:rsid w:val="00894ABA"/>
    <w:rsid w:val="008962A9"/>
    <w:rsid w:val="0089741D"/>
    <w:rsid w:val="00897DB2"/>
    <w:rsid w:val="008A1932"/>
    <w:rsid w:val="008A1C21"/>
    <w:rsid w:val="008A33AD"/>
    <w:rsid w:val="008B1DE9"/>
    <w:rsid w:val="008B2A38"/>
    <w:rsid w:val="008B78A3"/>
    <w:rsid w:val="008C062B"/>
    <w:rsid w:val="008C194D"/>
    <w:rsid w:val="008C43D5"/>
    <w:rsid w:val="008D0E64"/>
    <w:rsid w:val="008D7FE4"/>
    <w:rsid w:val="008E4A11"/>
    <w:rsid w:val="008F561D"/>
    <w:rsid w:val="008F6441"/>
    <w:rsid w:val="008F7783"/>
    <w:rsid w:val="00903C52"/>
    <w:rsid w:val="009073FA"/>
    <w:rsid w:val="00910DCE"/>
    <w:rsid w:val="00922E41"/>
    <w:rsid w:val="0093081F"/>
    <w:rsid w:val="00931A10"/>
    <w:rsid w:val="009355AA"/>
    <w:rsid w:val="009370D5"/>
    <w:rsid w:val="009434C7"/>
    <w:rsid w:val="00943678"/>
    <w:rsid w:val="00955BF9"/>
    <w:rsid w:val="00966D76"/>
    <w:rsid w:val="00973394"/>
    <w:rsid w:val="009737AF"/>
    <w:rsid w:val="0097414E"/>
    <w:rsid w:val="00974976"/>
    <w:rsid w:val="00976F4C"/>
    <w:rsid w:val="009816B9"/>
    <w:rsid w:val="009856E3"/>
    <w:rsid w:val="00985A44"/>
    <w:rsid w:val="009903EE"/>
    <w:rsid w:val="00990DCD"/>
    <w:rsid w:val="00991C80"/>
    <w:rsid w:val="009965B2"/>
    <w:rsid w:val="009A4BCC"/>
    <w:rsid w:val="009A63E2"/>
    <w:rsid w:val="009B045F"/>
    <w:rsid w:val="009B0794"/>
    <w:rsid w:val="009B1DDF"/>
    <w:rsid w:val="009B2AC8"/>
    <w:rsid w:val="009B2E15"/>
    <w:rsid w:val="009B4780"/>
    <w:rsid w:val="009B7FB4"/>
    <w:rsid w:val="009C2B7F"/>
    <w:rsid w:val="009C6AE4"/>
    <w:rsid w:val="009C77F7"/>
    <w:rsid w:val="009D1A51"/>
    <w:rsid w:val="009D542F"/>
    <w:rsid w:val="009E6B1F"/>
    <w:rsid w:val="009F7178"/>
    <w:rsid w:val="009F720A"/>
    <w:rsid w:val="00A0025B"/>
    <w:rsid w:val="00A046F9"/>
    <w:rsid w:val="00A103D5"/>
    <w:rsid w:val="00A14D4B"/>
    <w:rsid w:val="00A17988"/>
    <w:rsid w:val="00A201DB"/>
    <w:rsid w:val="00A22198"/>
    <w:rsid w:val="00A24F03"/>
    <w:rsid w:val="00A2623F"/>
    <w:rsid w:val="00A36C5C"/>
    <w:rsid w:val="00A408EC"/>
    <w:rsid w:val="00A4331A"/>
    <w:rsid w:val="00A452CD"/>
    <w:rsid w:val="00A457B8"/>
    <w:rsid w:val="00A45961"/>
    <w:rsid w:val="00A46E5A"/>
    <w:rsid w:val="00A54CE8"/>
    <w:rsid w:val="00A62ED7"/>
    <w:rsid w:val="00A72950"/>
    <w:rsid w:val="00A77C1D"/>
    <w:rsid w:val="00A83911"/>
    <w:rsid w:val="00A83AA9"/>
    <w:rsid w:val="00A90EAD"/>
    <w:rsid w:val="00A93AF9"/>
    <w:rsid w:val="00AA01C8"/>
    <w:rsid w:val="00AA1453"/>
    <w:rsid w:val="00AA785C"/>
    <w:rsid w:val="00AC0487"/>
    <w:rsid w:val="00AC1977"/>
    <w:rsid w:val="00AD4FCC"/>
    <w:rsid w:val="00AE107A"/>
    <w:rsid w:val="00AE2027"/>
    <w:rsid w:val="00AE2792"/>
    <w:rsid w:val="00AE2B16"/>
    <w:rsid w:val="00AE6855"/>
    <w:rsid w:val="00AF244C"/>
    <w:rsid w:val="00AF79EC"/>
    <w:rsid w:val="00AF7F9B"/>
    <w:rsid w:val="00B148DF"/>
    <w:rsid w:val="00B375B3"/>
    <w:rsid w:val="00B42D7F"/>
    <w:rsid w:val="00B44094"/>
    <w:rsid w:val="00B44205"/>
    <w:rsid w:val="00B45B4D"/>
    <w:rsid w:val="00B45E42"/>
    <w:rsid w:val="00B55C73"/>
    <w:rsid w:val="00B71597"/>
    <w:rsid w:val="00B71FCD"/>
    <w:rsid w:val="00B75310"/>
    <w:rsid w:val="00B76B1B"/>
    <w:rsid w:val="00B839EB"/>
    <w:rsid w:val="00B873E3"/>
    <w:rsid w:val="00B913C8"/>
    <w:rsid w:val="00B92814"/>
    <w:rsid w:val="00B9742C"/>
    <w:rsid w:val="00BA3BC6"/>
    <w:rsid w:val="00BA6F37"/>
    <w:rsid w:val="00BB19B6"/>
    <w:rsid w:val="00BC41C6"/>
    <w:rsid w:val="00BD5352"/>
    <w:rsid w:val="00BD71DA"/>
    <w:rsid w:val="00BD75BB"/>
    <w:rsid w:val="00BE3FE6"/>
    <w:rsid w:val="00BE40C9"/>
    <w:rsid w:val="00BF0DEF"/>
    <w:rsid w:val="00BF55C8"/>
    <w:rsid w:val="00BF63DB"/>
    <w:rsid w:val="00BF7253"/>
    <w:rsid w:val="00C03C72"/>
    <w:rsid w:val="00C04DE5"/>
    <w:rsid w:val="00C100C1"/>
    <w:rsid w:val="00C1222B"/>
    <w:rsid w:val="00C15D6E"/>
    <w:rsid w:val="00C26479"/>
    <w:rsid w:val="00C3328D"/>
    <w:rsid w:val="00C3332A"/>
    <w:rsid w:val="00C36304"/>
    <w:rsid w:val="00C44AFC"/>
    <w:rsid w:val="00C45FFE"/>
    <w:rsid w:val="00C46F3D"/>
    <w:rsid w:val="00C50FD7"/>
    <w:rsid w:val="00C55393"/>
    <w:rsid w:val="00C55E71"/>
    <w:rsid w:val="00C57A2A"/>
    <w:rsid w:val="00C6086F"/>
    <w:rsid w:val="00C735B4"/>
    <w:rsid w:val="00C778F8"/>
    <w:rsid w:val="00C94986"/>
    <w:rsid w:val="00C96B06"/>
    <w:rsid w:val="00C970C0"/>
    <w:rsid w:val="00CA54FC"/>
    <w:rsid w:val="00CB1F8E"/>
    <w:rsid w:val="00CB2BBA"/>
    <w:rsid w:val="00CB6FC7"/>
    <w:rsid w:val="00CC24FD"/>
    <w:rsid w:val="00CC2C34"/>
    <w:rsid w:val="00CC3128"/>
    <w:rsid w:val="00CC7148"/>
    <w:rsid w:val="00CC79EA"/>
    <w:rsid w:val="00CD1E29"/>
    <w:rsid w:val="00CD420B"/>
    <w:rsid w:val="00CE128E"/>
    <w:rsid w:val="00CE5CEC"/>
    <w:rsid w:val="00CE6D98"/>
    <w:rsid w:val="00CF28C6"/>
    <w:rsid w:val="00CF5B50"/>
    <w:rsid w:val="00D046E6"/>
    <w:rsid w:val="00D06E7A"/>
    <w:rsid w:val="00D0701E"/>
    <w:rsid w:val="00D077C0"/>
    <w:rsid w:val="00D1393E"/>
    <w:rsid w:val="00D162BC"/>
    <w:rsid w:val="00D22CCD"/>
    <w:rsid w:val="00D23D38"/>
    <w:rsid w:val="00D24566"/>
    <w:rsid w:val="00D30EDB"/>
    <w:rsid w:val="00D32639"/>
    <w:rsid w:val="00D51983"/>
    <w:rsid w:val="00D52012"/>
    <w:rsid w:val="00D653A2"/>
    <w:rsid w:val="00D66E84"/>
    <w:rsid w:val="00D705B5"/>
    <w:rsid w:val="00D73838"/>
    <w:rsid w:val="00D80327"/>
    <w:rsid w:val="00D81C44"/>
    <w:rsid w:val="00D87F81"/>
    <w:rsid w:val="00D9016D"/>
    <w:rsid w:val="00D9400F"/>
    <w:rsid w:val="00D952E5"/>
    <w:rsid w:val="00D97B43"/>
    <w:rsid w:val="00DA241C"/>
    <w:rsid w:val="00DA2B0E"/>
    <w:rsid w:val="00DB7026"/>
    <w:rsid w:val="00DC0F3F"/>
    <w:rsid w:val="00DC1931"/>
    <w:rsid w:val="00DD5EE2"/>
    <w:rsid w:val="00DE129A"/>
    <w:rsid w:val="00DE3411"/>
    <w:rsid w:val="00DE658F"/>
    <w:rsid w:val="00DF1541"/>
    <w:rsid w:val="00DF5B1B"/>
    <w:rsid w:val="00E010F0"/>
    <w:rsid w:val="00E01173"/>
    <w:rsid w:val="00E03163"/>
    <w:rsid w:val="00E10A6C"/>
    <w:rsid w:val="00E130B3"/>
    <w:rsid w:val="00E209B4"/>
    <w:rsid w:val="00E24CAE"/>
    <w:rsid w:val="00E26A58"/>
    <w:rsid w:val="00E3203F"/>
    <w:rsid w:val="00E379A6"/>
    <w:rsid w:val="00E37C44"/>
    <w:rsid w:val="00E42D22"/>
    <w:rsid w:val="00E451FF"/>
    <w:rsid w:val="00E50595"/>
    <w:rsid w:val="00E63AA3"/>
    <w:rsid w:val="00E75273"/>
    <w:rsid w:val="00E834B1"/>
    <w:rsid w:val="00E9461D"/>
    <w:rsid w:val="00E97054"/>
    <w:rsid w:val="00EA1A28"/>
    <w:rsid w:val="00EA6E5D"/>
    <w:rsid w:val="00EB447D"/>
    <w:rsid w:val="00EC5997"/>
    <w:rsid w:val="00EC75F4"/>
    <w:rsid w:val="00EC7E03"/>
    <w:rsid w:val="00ED633F"/>
    <w:rsid w:val="00ED77A5"/>
    <w:rsid w:val="00EE5984"/>
    <w:rsid w:val="00EE7972"/>
    <w:rsid w:val="00F030A3"/>
    <w:rsid w:val="00F130C5"/>
    <w:rsid w:val="00F22EDF"/>
    <w:rsid w:val="00F27552"/>
    <w:rsid w:val="00F3691E"/>
    <w:rsid w:val="00F46A59"/>
    <w:rsid w:val="00F6004A"/>
    <w:rsid w:val="00F61325"/>
    <w:rsid w:val="00F65CAD"/>
    <w:rsid w:val="00F700D6"/>
    <w:rsid w:val="00F743C5"/>
    <w:rsid w:val="00F77683"/>
    <w:rsid w:val="00F83182"/>
    <w:rsid w:val="00F86F07"/>
    <w:rsid w:val="00F911FE"/>
    <w:rsid w:val="00F974D5"/>
    <w:rsid w:val="00FA1466"/>
    <w:rsid w:val="00FB03DB"/>
    <w:rsid w:val="00FB28E6"/>
    <w:rsid w:val="00FB47FA"/>
    <w:rsid w:val="00FC4639"/>
    <w:rsid w:val="00FD3788"/>
    <w:rsid w:val="00FE3D61"/>
    <w:rsid w:val="00FF2DA8"/>
    <w:rsid w:val="00FF4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B9BDA7"/>
  <w14:defaultImageDpi w14:val="32767"/>
  <w15:chartTrackingRefBased/>
  <w15:docId w15:val="{82341387-719F-4E41-986D-9A84AE886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askerville" w:eastAsiaTheme="minorHAnsi" w:hAnsi="Baskerville" w:cs="Times New Roman"/>
        <w:lang w:val="en-US" w:eastAsia="en-US" w:bidi="ar-SA"/>
      </w:rPr>
    </w:rPrDefault>
    <w:pPrDefault>
      <w:pPr>
        <w:spacing w:before="120" w:after="120"/>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802C3"/>
    <w:pPr>
      <w:spacing w:before="0" w:after="0"/>
      <w:ind w:left="0"/>
    </w:pPr>
    <w:rPr>
      <w:sz w:val="24"/>
      <w:szCs w:val="24"/>
    </w:rPr>
  </w:style>
  <w:style w:type="paragraph" w:styleId="Heading1">
    <w:name w:val="heading 1"/>
    <w:basedOn w:val="Normal"/>
    <w:next w:val="Normal"/>
    <w:link w:val="Heading1Char"/>
    <w:uiPriority w:val="9"/>
    <w:qFormat/>
    <w:rsid w:val="003A2A2B"/>
    <w:pPr>
      <w:keepNext/>
      <w:keepLines/>
      <w:outlineLvl w:val="0"/>
    </w:pPr>
    <w:rPr>
      <w:rFonts w:eastAsiaTheme="majorEastAsia" w:cs="Times New Roman (Headings CS)"/>
      <w:caps/>
    </w:rPr>
  </w:style>
  <w:style w:type="paragraph" w:styleId="Heading2">
    <w:name w:val="heading 2"/>
    <w:basedOn w:val="Normal"/>
    <w:next w:val="Normal"/>
    <w:link w:val="Heading2Char"/>
    <w:uiPriority w:val="9"/>
    <w:unhideWhenUsed/>
    <w:qFormat/>
    <w:rsid w:val="003A2A2B"/>
    <w:pPr>
      <w:keepNext/>
      <w:keepLines/>
      <w:spacing w:before="40"/>
      <w:outlineLvl w:val="1"/>
    </w:pPr>
    <w:rPr>
      <w:rFonts w:eastAsiaTheme="majorEastAsia" w:cs="Times New Roman (Headings CS)"/>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qFormat/>
    <w:rsid w:val="00CB2BBA"/>
    <w:pPr>
      <w:numPr>
        <w:numId w:val="4"/>
      </w:numPr>
    </w:pPr>
    <w:rPr>
      <w:rFonts w:eastAsiaTheme="minorEastAsia" w:cs="Baskerville"/>
      <w:lang w:eastAsia="zh-CN"/>
    </w:rPr>
  </w:style>
  <w:style w:type="character" w:customStyle="1" w:styleId="Heading1Char">
    <w:name w:val="Heading 1 Char"/>
    <w:basedOn w:val="DefaultParagraphFont"/>
    <w:link w:val="Heading1"/>
    <w:uiPriority w:val="9"/>
    <w:rsid w:val="003A2A2B"/>
    <w:rPr>
      <w:rFonts w:eastAsiaTheme="majorEastAsia" w:cs="Times New Roman (Headings CS)"/>
      <w:caps/>
      <w:sz w:val="24"/>
      <w:szCs w:val="24"/>
    </w:rPr>
  </w:style>
  <w:style w:type="character" w:customStyle="1" w:styleId="Heading2Char">
    <w:name w:val="Heading 2 Char"/>
    <w:basedOn w:val="DefaultParagraphFont"/>
    <w:link w:val="Heading2"/>
    <w:uiPriority w:val="9"/>
    <w:rsid w:val="003A2A2B"/>
    <w:rPr>
      <w:rFonts w:eastAsiaTheme="majorEastAsia" w:cs="Times New Roman (Headings CS)"/>
      <w:smallCaps/>
      <w:sz w:val="24"/>
      <w:szCs w:val="24"/>
    </w:rPr>
  </w:style>
  <w:style w:type="paragraph" w:styleId="CommentText">
    <w:name w:val="annotation text"/>
    <w:basedOn w:val="Normal"/>
    <w:link w:val="CommentTextChar"/>
    <w:autoRedefine/>
    <w:uiPriority w:val="99"/>
    <w:unhideWhenUsed/>
    <w:qFormat/>
    <w:rsid w:val="00463DCF"/>
    <w:rPr>
      <w:rFonts w:eastAsia="Arial" w:cs="Arial"/>
      <w:lang w:val="en"/>
    </w:rPr>
  </w:style>
  <w:style w:type="character" w:customStyle="1" w:styleId="CommentTextChar">
    <w:name w:val="Comment Text Char"/>
    <w:basedOn w:val="DefaultParagraphFont"/>
    <w:link w:val="CommentText"/>
    <w:uiPriority w:val="99"/>
    <w:rsid w:val="00463DCF"/>
    <w:rPr>
      <w:rFonts w:eastAsia="Arial" w:cs="Arial"/>
      <w:sz w:val="20"/>
      <w:szCs w:val="20"/>
      <w:lang w:val="en"/>
    </w:rPr>
  </w:style>
  <w:style w:type="character" w:styleId="FollowedHyperlink">
    <w:name w:val="FollowedHyperlink"/>
    <w:basedOn w:val="DefaultParagraphFont"/>
    <w:uiPriority w:val="99"/>
    <w:semiHidden/>
    <w:unhideWhenUsed/>
    <w:rsid w:val="004E40F6"/>
    <w:rPr>
      <w:color w:val="000000" w:themeColor="text1"/>
      <w:u w:val="single"/>
    </w:rPr>
  </w:style>
  <w:style w:type="paragraph" w:styleId="ListParagraph">
    <w:name w:val="List Paragraph"/>
    <w:basedOn w:val="Normal"/>
    <w:uiPriority w:val="34"/>
    <w:qFormat/>
    <w:rsid w:val="00990DCD"/>
    <w:pPr>
      <w:ind w:left="720"/>
      <w:contextualSpacing/>
    </w:pPr>
  </w:style>
  <w:style w:type="paragraph" w:customStyle="1" w:styleId="Default">
    <w:name w:val="Default"/>
    <w:rsid w:val="002D358F"/>
    <w:pPr>
      <w:autoSpaceDE w:val="0"/>
      <w:autoSpaceDN w:val="0"/>
      <w:adjustRightInd w:val="0"/>
      <w:spacing w:before="0" w:after="0"/>
      <w:ind w:left="0"/>
    </w:pPr>
    <w:rPr>
      <w:rFonts w:ascii="Times New Roman" w:hAnsi="Times New Roman"/>
      <w:color w:val="000000"/>
      <w:sz w:val="24"/>
      <w:szCs w:val="24"/>
    </w:rPr>
  </w:style>
  <w:style w:type="character" w:styleId="Hyperlink">
    <w:name w:val="Hyperlink"/>
    <w:basedOn w:val="DefaultParagraphFont"/>
    <w:uiPriority w:val="99"/>
    <w:unhideWhenUsed/>
    <w:rsid w:val="003A2A2B"/>
    <w:rPr>
      <w:color w:val="000000" w:themeColor="text1"/>
      <w:u w:val="single"/>
    </w:rPr>
  </w:style>
  <w:style w:type="character" w:styleId="UnresolvedMention">
    <w:name w:val="Unresolved Mention"/>
    <w:basedOn w:val="DefaultParagraphFont"/>
    <w:uiPriority w:val="99"/>
    <w:rsid w:val="003A2A2B"/>
    <w:rPr>
      <w:color w:val="605E5C"/>
      <w:shd w:val="clear" w:color="auto" w:fill="E1DFDD"/>
    </w:rPr>
  </w:style>
  <w:style w:type="paragraph" w:styleId="FootnoteText">
    <w:name w:val="footnote text"/>
    <w:basedOn w:val="Normal"/>
    <w:link w:val="FootnoteTextChar"/>
    <w:uiPriority w:val="99"/>
    <w:unhideWhenUsed/>
    <w:rsid w:val="0000767B"/>
    <w:rPr>
      <w:sz w:val="20"/>
      <w:szCs w:val="20"/>
    </w:rPr>
  </w:style>
  <w:style w:type="character" w:customStyle="1" w:styleId="FootnoteTextChar">
    <w:name w:val="Footnote Text Char"/>
    <w:basedOn w:val="DefaultParagraphFont"/>
    <w:link w:val="FootnoteText"/>
    <w:uiPriority w:val="99"/>
    <w:rsid w:val="0000767B"/>
  </w:style>
  <w:style w:type="character" w:styleId="FootnoteReference">
    <w:name w:val="footnote reference"/>
    <w:basedOn w:val="DefaultParagraphFont"/>
    <w:uiPriority w:val="99"/>
    <w:semiHidden/>
    <w:unhideWhenUsed/>
    <w:rsid w:val="0000767B"/>
    <w:rPr>
      <w:vertAlign w:val="superscript"/>
    </w:rPr>
  </w:style>
  <w:style w:type="paragraph" w:styleId="Footer">
    <w:name w:val="footer"/>
    <w:basedOn w:val="Normal"/>
    <w:link w:val="FooterChar"/>
    <w:uiPriority w:val="99"/>
    <w:unhideWhenUsed/>
    <w:rsid w:val="004E40F6"/>
    <w:pPr>
      <w:tabs>
        <w:tab w:val="center" w:pos="4680"/>
        <w:tab w:val="right" w:pos="9360"/>
      </w:tabs>
    </w:pPr>
  </w:style>
  <w:style w:type="character" w:customStyle="1" w:styleId="FooterChar">
    <w:name w:val="Footer Char"/>
    <w:basedOn w:val="DefaultParagraphFont"/>
    <w:link w:val="Footer"/>
    <w:uiPriority w:val="99"/>
    <w:rsid w:val="004E40F6"/>
    <w:rPr>
      <w:sz w:val="24"/>
      <w:szCs w:val="24"/>
    </w:rPr>
  </w:style>
  <w:style w:type="character" w:styleId="PageNumber">
    <w:name w:val="page number"/>
    <w:basedOn w:val="DefaultParagraphFont"/>
    <w:uiPriority w:val="99"/>
    <w:semiHidden/>
    <w:unhideWhenUsed/>
    <w:rsid w:val="004E40F6"/>
  </w:style>
  <w:style w:type="paragraph" w:styleId="BalloonText">
    <w:name w:val="Balloon Text"/>
    <w:basedOn w:val="Normal"/>
    <w:link w:val="BalloonTextChar"/>
    <w:uiPriority w:val="99"/>
    <w:semiHidden/>
    <w:unhideWhenUsed/>
    <w:rsid w:val="00E75273"/>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E75273"/>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39206">
      <w:bodyDiv w:val="1"/>
      <w:marLeft w:val="0"/>
      <w:marRight w:val="0"/>
      <w:marTop w:val="0"/>
      <w:marBottom w:val="0"/>
      <w:divBdr>
        <w:top w:val="none" w:sz="0" w:space="0" w:color="auto"/>
        <w:left w:val="none" w:sz="0" w:space="0" w:color="auto"/>
        <w:bottom w:val="none" w:sz="0" w:space="0" w:color="auto"/>
        <w:right w:val="none" w:sz="0" w:space="0" w:color="auto"/>
      </w:divBdr>
      <w:divsChild>
        <w:div w:id="1598515808">
          <w:marLeft w:val="547"/>
          <w:marRight w:val="0"/>
          <w:marTop w:val="200"/>
          <w:marBottom w:val="0"/>
          <w:divBdr>
            <w:top w:val="none" w:sz="0" w:space="0" w:color="auto"/>
            <w:left w:val="none" w:sz="0" w:space="0" w:color="auto"/>
            <w:bottom w:val="none" w:sz="0" w:space="0" w:color="auto"/>
            <w:right w:val="none" w:sz="0" w:space="0" w:color="auto"/>
          </w:divBdr>
        </w:div>
      </w:divsChild>
    </w:div>
    <w:div w:id="533352545">
      <w:bodyDiv w:val="1"/>
      <w:marLeft w:val="0"/>
      <w:marRight w:val="0"/>
      <w:marTop w:val="0"/>
      <w:marBottom w:val="0"/>
      <w:divBdr>
        <w:top w:val="none" w:sz="0" w:space="0" w:color="auto"/>
        <w:left w:val="none" w:sz="0" w:space="0" w:color="auto"/>
        <w:bottom w:val="none" w:sz="0" w:space="0" w:color="auto"/>
        <w:right w:val="none" w:sz="0" w:space="0" w:color="auto"/>
      </w:divBdr>
    </w:div>
    <w:div w:id="588661910">
      <w:bodyDiv w:val="1"/>
      <w:marLeft w:val="0"/>
      <w:marRight w:val="0"/>
      <w:marTop w:val="0"/>
      <w:marBottom w:val="0"/>
      <w:divBdr>
        <w:top w:val="none" w:sz="0" w:space="0" w:color="auto"/>
        <w:left w:val="none" w:sz="0" w:space="0" w:color="auto"/>
        <w:bottom w:val="none" w:sz="0" w:space="0" w:color="auto"/>
        <w:right w:val="none" w:sz="0" w:space="0" w:color="auto"/>
      </w:divBdr>
      <w:divsChild>
        <w:div w:id="103965018">
          <w:marLeft w:val="547"/>
          <w:marRight w:val="0"/>
          <w:marTop w:val="200"/>
          <w:marBottom w:val="0"/>
          <w:divBdr>
            <w:top w:val="none" w:sz="0" w:space="0" w:color="auto"/>
            <w:left w:val="none" w:sz="0" w:space="0" w:color="auto"/>
            <w:bottom w:val="none" w:sz="0" w:space="0" w:color="auto"/>
            <w:right w:val="none" w:sz="0" w:space="0" w:color="auto"/>
          </w:divBdr>
        </w:div>
        <w:div w:id="517701021">
          <w:marLeft w:val="547"/>
          <w:marRight w:val="0"/>
          <w:marTop w:val="200"/>
          <w:marBottom w:val="0"/>
          <w:divBdr>
            <w:top w:val="none" w:sz="0" w:space="0" w:color="auto"/>
            <w:left w:val="none" w:sz="0" w:space="0" w:color="auto"/>
            <w:bottom w:val="none" w:sz="0" w:space="0" w:color="auto"/>
            <w:right w:val="none" w:sz="0" w:space="0" w:color="auto"/>
          </w:divBdr>
        </w:div>
        <w:div w:id="687219050">
          <w:marLeft w:val="547"/>
          <w:marRight w:val="0"/>
          <w:marTop w:val="200"/>
          <w:marBottom w:val="0"/>
          <w:divBdr>
            <w:top w:val="none" w:sz="0" w:space="0" w:color="auto"/>
            <w:left w:val="none" w:sz="0" w:space="0" w:color="auto"/>
            <w:bottom w:val="none" w:sz="0" w:space="0" w:color="auto"/>
            <w:right w:val="none" w:sz="0" w:space="0" w:color="auto"/>
          </w:divBdr>
        </w:div>
        <w:div w:id="427190539">
          <w:marLeft w:val="547"/>
          <w:marRight w:val="0"/>
          <w:marTop w:val="200"/>
          <w:marBottom w:val="0"/>
          <w:divBdr>
            <w:top w:val="none" w:sz="0" w:space="0" w:color="auto"/>
            <w:left w:val="none" w:sz="0" w:space="0" w:color="auto"/>
            <w:bottom w:val="none" w:sz="0" w:space="0" w:color="auto"/>
            <w:right w:val="none" w:sz="0" w:space="0" w:color="auto"/>
          </w:divBdr>
        </w:div>
        <w:div w:id="1669090302">
          <w:marLeft w:val="547"/>
          <w:marRight w:val="0"/>
          <w:marTop w:val="200"/>
          <w:marBottom w:val="0"/>
          <w:divBdr>
            <w:top w:val="none" w:sz="0" w:space="0" w:color="auto"/>
            <w:left w:val="none" w:sz="0" w:space="0" w:color="auto"/>
            <w:bottom w:val="none" w:sz="0" w:space="0" w:color="auto"/>
            <w:right w:val="none" w:sz="0" w:space="0" w:color="auto"/>
          </w:divBdr>
        </w:div>
        <w:div w:id="1631011143">
          <w:marLeft w:val="547"/>
          <w:marRight w:val="0"/>
          <w:marTop w:val="200"/>
          <w:marBottom w:val="0"/>
          <w:divBdr>
            <w:top w:val="none" w:sz="0" w:space="0" w:color="auto"/>
            <w:left w:val="none" w:sz="0" w:space="0" w:color="auto"/>
            <w:bottom w:val="none" w:sz="0" w:space="0" w:color="auto"/>
            <w:right w:val="none" w:sz="0" w:space="0" w:color="auto"/>
          </w:divBdr>
        </w:div>
        <w:div w:id="2021807147">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chronicle.com/article/inside-a-stealth-plan-for-political-influence/" TargetMode="External"/><Relationship Id="rId13" Type="http://schemas.openxmlformats.org/officeDocument/2006/relationships/hyperlink" Target="https://www.insidehighered.com/news/2017/06/21/college-allegedly-suspends-communications-adjunct-comments-about-race-fox-news" TargetMode="External"/><Relationship Id="rId18" Type="http://schemas.openxmlformats.org/officeDocument/2006/relationships/hyperlink" Target="https://www.aaup.org/article/state-profession-targeted-harassment%E2%80%94faculty-report-back" TargetMode="External"/><Relationship Id="rId3" Type="http://schemas.openxmlformats.org/officeDocument/2006/relationships/hyperlink" Target="https://www.chronicle.com/article/will-the-pandemic-usher-in-an-era-of-mass-surveillance-in-higher-education/" TargetMode="External"/><Relationship Id="rId7" Type="http://schemas.openxmlformats.org/officeDocument/2006/relationships/hyperlink" Target="https://www.aaup.org/article/aaup-age-trump" TargetMode="External"/><Relationship Id="rId12" Type="http://schemas.openxmlformats.org/officeDocument/2006/relationships/hyperlink" Target="https://www.washingtonpost.com/news/grade-point/wp/2017/12/29/professor-who-tweeted-all-i-want-for-christmas-is-white-genocide-resigns-after-year-of-threats/" TargetMode="External"/><Relationship Id="rId17" Type="http://schemas.openxmlformats.org/officeDocument/2006/relationships/hyperlink" Target="https://tressiemc.com/essays-2/academic-outrage-when-the-culture-wars-go-digital/" TargetMode="External"/><Relationship Id="rId2" Type="http://schemas.openxmlformats.org/officeDocument/2006/relationships/hyperlink" Target="https://guides.library.txstate.edu/academicfreedom" TargetMode="External"/><Relationship Id="rId16" Type="http://schemas.openxmlformats.org/officeDocument/2006/relationships/hyperlink" Target="https://socwomen.org/public-targeted-online-harassment/" TargetMode="External"/><Relationship Id="rId1" Type="http://schemas.openxmlformats.org/officeDocument/2006/relationships/hyperlink" Target="https://www.thefire.org/chicago-statement-university-and-faculty-body-support/" TargetMode="External"/><Relationship Id="rId6" Type="http://schemas.openxmlformats.org/officeDocument/2006/relationships/hyperlink" Target="https://journals.sagepub.com/doi/full/10.1177/0731121418814597" TargetMode="External"/><Relationship Id="rId11" Type="http://schemas.openxmlformats.org/officeDocument/2006/relationships/hyperlink" Target="https://academeblog.org/2017/12/28/george-ciccariello-maher-resigns-we-are-all-a-single-outrage-campaign-away-from-having-no-rights-at-all/" TargetMode="External"/><Relationship Id="rId5" Type="http://schemas.openxmlformats.org/officeDocument/2006/relationships/hyperlink" Target="https://www.chronicle.com/article/as-turning-point-usa-grows-so-does-charlie-kirks-salary" TargetMode="External"/><Relationship Id="rId15" Type="http://schemas.openxmlformats.org/officeDocument/2006/relationships/hyperlink" Target="https://journals.sagepub.com/eprint/BCATE6sxd9SffZbccrhf/full" TargetMode="External"/><Relationship Id="rId10" Type="http://schemas.openxmlformats.org/officeDocument/2006/relationships/hyperlink" Target="https://www.chronicle.com/article/the-far-rights-new-offensive-against-academia/" TargetMode="External"/><Relationship Id="rId19" Type="http://schemas.openxmlformats.org/officeDocument/2006/relationships/hyperlink" Target="https://www.facebook.com/haymarketbooks/posts/1494045207312386" TargetMode="External"/><Relationship Id="rId4" Type="http://schemas.openxmlformats.org/officeDocument/2006/relationships/hyperlink" Target="https://www.chronicle.com/article/a-side-effect-of-remote-teaching-during-covid-19-videos-that-can-be-weaponized/" TargetMode="External"/><Relationship Id="rId9" Type="http://schemas.openxmlformats.org/officeDocument/2006/relationships/hyperlink" Target="https://www.chronicle.com/article/as-turning-point-usa-grows-so-does-charlie-kirks-salary" TargetMode="External"/><Relationship Id="rId14" Type="http://schemas.openxmlformats.org/officeDocument/2006/relationships/hyperlink" Target="https://www.chronicle.com/article/these-scholars-denounced-the-police-do-their-universities-have-their-bac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3294</Words>
  <Characters>18776</Characters>
  <Application>Microsoft Office Word</Application>
  <DocSecurity>8</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Duffy, Shannon E</dc:creator>
  <cp:keywords/>
  <dc:description/>
  <cp:lastModifiedBy>Anderson, Valerie J</cp:lastModifiedBy>
  <cp:revision>2</cp:revision>
  <cp:lastPrinted>2020-09-09T18:54:00Z</cp:lastPrinted>
  <dcterms:created xsi:type="dcterms:W3CDTF">2020-09-11T13:49:00Z</dcterms:created>
  <dcterms:modified xsi:type="dcterms:W3CDTF">2020-09-11T13:49:00Z</dcterms:modified>
</cp:coreProperties>
</file>