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E9B6" w14:textId="56B0B40F" w:rsidR="00D55EA6" w:rsidRDefault="00AF7A21" w:rsidP="00AF7A21">
      <w:pPr>
        <w:jc w:val="center"/>
      </w:pPr>
      <w:r>
        <w:rPr>
          <w:rFonts w:ascii="Times New Roman"/>
          <w:noProof/>
          <w:sz w:val="20"/>
        </w:rPr>
        <w:drawing>
          <wp:inline distT="0" distB="0" distL="0" distR="0" wp14:anchorId="2A9DF1E5" wp14:editId="50F22AB8">
            <wp:extent cx="3575480"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2890ECA5" w:rsidR="00AF7A21" w:rsidRPr="00AC4E0E" w:rsidRDefault="00AF7A21" w:rsidP="00AC4E0E">
      <w:pPr>
        <w:pStyle w:val="Heading2"/>
        <w:jc w:val="center"/>
        <w:rPr>
          <w:b/>
          <w:bCs/>
          <w:sz w:val="26"/>
          <w:szCs w:val="26"/>
        </w:rPr>
      </w:pPr>
      <w:r w:rsidRPr="00AC4E0E">
        <w:rPr>
          <w:sz w:val="26"/>
          <w:szCs w:val="26"/>
        </w:rPr>
        <w:t xml:space="preserve">Transfer Planning Guide </w:t>
      </w:r>
      <w:r w:rsidR="00F86D31">
        <w:rPr>
          <w:sz w:val="26"/>
          <w:szCs w:val="26"/>
        </w:rPr>
        <w:t>2020-2021</w:t>
      </w:r>
    </w:p>
    <w:p w14:paraId="0117E974" w14:textId="5B5DB9F3" w:rsidR="00792CAE" w:rsidRPr="00AC4E0E" w:rsidRDefault="00AF7A21" w:rsidP="00AC4E0E">
      <w:pPr>
        <w:pStyle w:val="Heading2"/>
        <w:jc w:val="center"/>
        <w:rPr>
          <w:b/>
          <w:bCs/>
          <w:sz w:val="26"/>
          <w:szCs w:val="26"/>
        </w:rPr>
      </w:pPr>
      <w:r w:rsidRPr="00AC4E0E">
        <w:rPr>
          <w:sz w:val="26"/>
          <w:szCs w:val="26"/>
        </w:rPr>
        <w:t xml:space="preserve">Major in </w:t>
      </w:r>
      <w:r w:rsidR="00F50CB8">
        <w:rPr>
          <w:sz w:val="26"/>
          <w:szCs w:val="26"/>
        </w:rPr>
        <w:t>Health</w:t>
      </w:r>
      <w:r w:rsidR="006013D1">
        <w:rPr>
          <w:sz w:val="26"/>
          <w:szCs w:val="26"/>
        </w:rPr>
        <w:t>care Administration</w:t>
      </w:r>
    </w:p>
    <w:p w14:paraId="03B072AF" w14:textId="60B34D23" w:rsidR="00AF7A21" w:rsidRPr="00AC4E0E" w:rsidRDefault="00AF7A21" w:rsidP="00AC4E0E">
      <w:pPr>
        <w:pStyle w:val="Heading2"/>
        <w:jc w:val="center"/>
        <w:rPr>
          <w:b/>
          <w:bCs/>
          <w:sz w:val="26"/>
          <w:szCs w:val="26"/>
        </w:rPr>
      </w:pPr>
      <w:r w:rsidRPr="00AC4E0E">
        <w:rPr>
          <w:sz w:val="26"/>
          <w:szCs w:val="26"/>
        </w:rPr>
        <w:t xml:space="preserve">Bachelor of </w:t>
      </w:r>
      <w:r w:rsidR="006013D1">
        <w:rPr>
          <w:sz w:val="26"/>
          <w:szCs w:val="26"/>
        </w:rPr>
        <w:t>Healthcare Administration</w:t>
      </w:r>
      <w:r w:rsidR="006013D1" w:rsidRPr="00AC4E0E">
        <w:rPr>
          <w:sz w:val="26"/>
          <w:szCs w:val="26"/>
        </w:rPr>
        <w:t xml:space="preserve"> </w:t>
      </w:r>
      <w:r w:rsidR="00901465">
        <w:rPr>
          <w:sz w:val="26"/>
          <w:szCs w:val="26"/>
        </w:rPr>
        <w:t xml:space="preserve">Degree </w:t>
      </w:r>
      <w:r w:rsidRPr="00AC4E0E">
        <w:rPr>
          <w:sz w:val="26"/>
          <w:szCs w:val="26"/>
        </w:rPr>
        <w:t>(B</w:t>
      </w:r>
      <w:r w:rsidR="006013D1">
        <w:rPr>
          <w:sz w:val="26"/>
          <w:szCs w:val="26"/>
        </w:rPr>
        <w:t>HA</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345384" w:rsidRDefault="00803AB3" w:rsidP="00803AB3">
      <w:pPr>
        <w:pStyle w:val="BodyText"/>
        <w:ind w:left="360" w:right="180"/>
      </w:pPr>
      <w:r w:rsidRPr="00345384">
        <w:t xml:space="preserve">Texas Education Code Section 61.822 requires that Texas public institutions facilitate the transferability of lower-division course credit through the </w:t>
      </w:r>
      <w:r w:rsidRPr="00345384">
        <w:rPr>
          <w:b/>
        </w:rPr>
        <w:t>Core Curriculum</w:t>
      </w:r>
      <w:r w:rsidRPr="00345384">
        <w:t xml:space="preserve">. The </w:t>
      </w:r>
      <w:hyperlink r:id="rId7">
        <w:r w:rsidRPr="00345384">
          <w:rPr>
            <w:color w:val="0000FF"/>
            <w:u w:val="single" w:color="0000FF"/>
          </w:rPr>
          <w:t>Core Curriculum</w:t>
        </w:r>
        <w:r w:rsidRPr="00345384">
          <w:rPr>
            <w:color w:val="0000FF"/>
          </w:rPr>
          <w:t xml:space="preserve"> </w:t>
        </w:r>
      </w:hyperlink>
      <w:r w:rsidRPr="00345384">
        <w:t>contains nine Foundational Component Areas (42 hours), which every Texas State student must satisfy to graduate.</w:t>
      </w:r>
    </w:p>
    <w:p w14:paraId="222984B1" w14:textId="77777777" w:rsidR="00803AB3" w:rsidRPr="00345384" w:rsidRDefault="00803AB3" w:rsidP="00803AB3">
      <w:pPr>
        <w:pStyle w:val="BodyText"/>
        <w:ind w:left="360" w:right="180"/>
      </w:pPr>
    </w:p>
    <w:p w14:paraId="2DD4417C" w14:textId="77777777" w:rsidR="00803AB3" w:rsidRPr="00345384" w:rsidRDefault="00803AB3" w:rsidP="00803AB3">
      <w:pPr>
        <w:pStyle w:val="BodyText"/>
        <w:ind w:left="360" w:right="180"/>
        <w:jc w:val="both"/>
      </w:pPr>
      <w:r w:rsidRPr="00345384">
        <w:t>Texas</w:t>
      </w:r>
      <w:r w:rsidRPr="00345384">
        <w:rPr>
          <w:spacing w:val="-7"/>
        </w:rPr>
        <w:t xml:space="preserve"> </w:t>
      </w:r>
      <w:r w:rsidRPr="00345384">
        <w:t>State</w:t>
      </w:r>
      <w:r w:rsidRPr="00345384">
        <w:rPr>
          <w:spacing w:val="-7"/>
        </w:rPr>
        <w:t xml:space="preserve"> </w:t>
      </w:r>
      <w:r w:rsidRPr="00345384">
        <w:t>is</w:t>
      </w:r>
      <w:r w:rsidRPr="00345384">
        <w:rPr>
          <w:spacing w:val="-7"/>
        </w:rPr>
        <w:t xml:space="preserve"> </w:t>
      </w:r>
      <w:r w:rsidRPr="00345384">
        <w:t>a</w:t>
      </w:r>
      <w:r w:rsidRPr="00345384">
        <w:rPr>
          <w:spacing w:val="-7"/>
        </w:rPr>
        <w:t xml:space="preserve"> </w:t>
      </w:r>
      <w:r w:rsidRPr="00345384">
        <w:t>participant</w:t>
      </w:r>
      <w:r w:rsidRPr="00345384">
        <w:rPr>
          <w:spacing w:val="-7"/>
        </w:rPr>
        <w:t xml:space="preserve"> </w:t>
      </w:r>
      <w:r w:rsidRPr="00345384">
        <w:t>in</w:t>
      </w:r>
      <w:r w:rsidRPr="00345384">
        <w:rPr>
          <w:spacing w:val="-7"/>
        </w:rPr>
        <w:t xml:space="preserve"> </w:t>
      </w:r>
      <w:r w:rsidRPr="00345384">
        <w:t>the</w:t>
      </w:r>
      <w:r w:rsidRPr="00345384">
        <w:rPr>
          <w:spacing w:val="-8"/>
        </w:rPr>
        <w:t xml:space="preserve"> </w:t>
      </w:r>
      <w:r w:rsidRPr="00345384">
        <w:t>*</w:t>
      </w:r>
      <w:r w:rsidRPr="00345384">
        <w:rPr>
          <w:b/>
        </w:rPr>
        <w:t>Texas</w:t>
      </w:r>
      <w:r w:rsidRPr="00345384">
        <w:rPr>
          <w:b/>
          <w:spacing w:val="-8"/>
        </w:rPr>
        <w:t xml:space="preserve"> </w:t>
      </w:r>
      <w:r w:rsidRPr="00345384">
        <w:rPr>
          <w:b/>
        </w:rPr>
        <w:t>Common</w:t>
      </w:r>
      <w:r w:rsidRPr="00345384">
        <w:rPr>
          <w:b/>
          <w:spacing w:val="-8"/>
        </w:rPr>
        <w:t xml:space="preserve"> </w:t>
      </w:r>
      <w:r w:rsidRPr="00345384">
        <w:rPr>
          <w:b/>
        </w:rPr>
        <w:t>Course</w:t>
      </w:r>
      <w:r w:rsidRPr="00345384">
        <w:rPr>
          <w:b/>
          <w:spacing w:val="-8"/>
        </w:rPr>
        <w:t xml:space="preserve"> </w:t>
      </w:r>
      <w:r w:rsidRPr="00345384">
        <w:rPr>
          <w:b/>
        </w:rPr>
        <w:t>Numbering</w:t>
      </w:r>
      <w:r w:rsidRPr="00345384">
        <w:rPr>
          <w:b/>
          <w:spacing w:val="-7"/>
        </w:rPr>
        <w:t xml:space="preserve"> </w:t>
      </w:r>
      <w:r w:rsidRPr="00345384">
        <w:rPr>
          <w:b/>
        </w:rPr>
        <w:t>System</w:t>
      </w:r>
      <w:r w:rsidRPr="00345384">
        <w:rPr>
          <w:b/>
          <w:spacing w:val="-6"/>
        </w:rPr>
        <w:t xml:space="preserve"> </w:t>
      </w:r>
      <w:hyperlink r:id="rId8">
        <w:r w:rsidRPr="00345384">
          <w:t>(</w:t>
        </w:r>
        <w:r w:rsidRPr="00345384">
          <w:rPr>
            <w:color w:val="0000FF"/>
            <w:u w:val="single" w:color="0000FF"/>
          </w:rPr>
          <w:t>TCCNS</w:t>
        </w:r>
        <w:r w:rsidRPr="00345384">
          <w:t>).</w:t>
        </w:r>
        <w:r w:rsidRPr="00345384">
          <w:rPr>
            <w:spacing w:val="-7"/>
          </w:rPr>
          <w:t xml:space="preserve"> </w:t>
        </w:r>
      </w:hyperlink>
      <w:r w:rsidRPr="00345384">
        <w:t>Use</w:t>
      </w:r>
      <w:r w:rsidRPr="00345384">
        <w:rPr>
          <w:spacing w:val="-7"/>
        </w:rPr>
        <w:t xml:space="preserve"> </w:t>
      </w:r>
      <w:r w:rsidRPr="00345384">
        <w:t>the</w:t>
      </w:r>
      <w:r w:rsidRPr="00345384">
        <w:rPr>
          <w:spacing w:val="-7"/>
        </w:rPr>
        <w:t xml:space="preserve"> </w:t>
      </w:r>
      <w:r w:rsidRPr="00345384">
        <w:t>TCCNS</w:t>
      </w:r>
      <w:r w:rsidRPr="00345384">
        <w:rPr>
          <w:spacing w:val="-6"/>
        </w:rPr>
        <w:t xml:space="preserve"> </w:t>
      </w:r>
      <w:r w:rsidRPr="00345384">
        <w:t>to</w:t>
      </w:r>
      <w:r w:rsidRPr="00345384">
        <w:rPr>
          <w:spacing w:val="-7"/>
        </w:rPr>
        <w:t xml:space="preserve"> </w:t>
      </w:r>
      <w:r w:rsidRPr="00345384">
        <w:t>find courses you can take at your institution to ensure transfer of credit toward freshman- and sophomore- level degree requirements at Texas</w:t>
      </w:r>
      <w:r w:rsidRPr="00345384">
        <w:rPr>
          <w:spacing w:val="-5"/>
        </w:rPr>
        <w:t xml:space="preserve"> </w:t>
      </w:r>
      <w:r w:rsidRPr="00345384">
        <w:t>State.</w:t>
      </w:r>
    </w:p>
    <w:p w14:paraId="42E0FAF4" w14:textId="77777777" w:rsidR="00803AB3" w:rsidRPr="00345384"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345384" w14:paraId="21B936C8" w14:textId="77777777" w:rsidTr="0015023D">
        <w:trPr>
          <w:trHeight w:val="247"/>
          <w:tblHeader/>
        </w:trPr>
        <w:tc>
          <w:tcPr>
            <w:tcW w:w="630" w:type="dxa"/>
          </w:tcPr>
          <w:p w14:paraId="4C08325D" w14:textId="77777777" w:rsidR="00803AB3" w:rsidRPr="00345384" w:rsidRDefault="00803AB3" w:rsidP="0015023D">
            <w:pPr>
              <w:pStyle w:val="TableParagraph"/>
              <w:spacing w:line="240" w:lineRule="auto"/>
              <w:rPr>
                <w:sz w:val="21"/>
                <w:szCs w:val="21"/>
                <w:u w:val="single"/>
              </w:rPr>
            </w:pPr>
            <w:r w:rsidRPr="00345384">
              <w:rPr>
                <w:sz w:val="21"/>
                <w:szCs w:val="21"/>
                <w:u w:val="single"/>
              </w:rPr>
              <w:t>Code</w:t>
            </w:r>
          </w:p>
        </w:tc>
        <w:tc>
          <w:tcPr>
            <w:tcW w:w="3150" w:type="dxa"/>
          </w:tcPr>
          <w:p w14:paraId="7180FDD0" w14:textId="77777777" w:rsidR="00803AB3" w:rsidRPr="00345384" w:rsidRDefault="00803AB3" w:rsidP="0015023D">
            <w:pPr>
              <w:pStyle w:val="TableParagraph"/>
              <w:spacing w:line="240" w:lineRule="auto"/>
              <w:rPr>
                <w:sz w:val="21"/>
                <w:szCs w:val="21"/>
                <w:u w:val="single"/>
              </w:rPr>
            </w:pPr>
            <w:r w:rsidRPr="00345384">
              <w:rPr>
                <w:sz w:val="21"/>
                <w:szCs w:val="21"/>
                <w:u w:val="single"/>
              </w:rPr>
              <w:t>Course</w:t>
            </w:r>
          </w:p>
        </w:tc>
        <w:tc>
          <w:tcPr>
            <w:tcW w:w="6310" w:type="dxa"/>
          </w:tcPr>
          <w:p w14:paraId="7C960135" w14:textId="77777777" w:rsidR="00803AB3" w:rsidRPr="00345384" w:rsidRDefault="00803AB3" w:rsidP="0015023D">
            <w:pPr>
              <w:pStyle w:val="TableParagraph"/>
              <w:spacing w:line="240" w:lineRule="auto"/>
              <w:rPr>
                <w:sz w:val="21"/>
                <w:szCs w:val="21"/>
                <w:u w:val="single"/>
              </w:rPr>
            </w:pPr>
            <w:r w:rsidRPr="00345384">
              <w:rPr>
                <w:sz w:val="21"/>
                <w:szCs w:val="21"/>
                <w:u w:val="single"/>
              </w:rPr>
              <w:t>Required Hours</w:t>
            </w:r>
          </w:p>
        </w:tc>
      </w:tr>
      <w:tr w:rsidR="00803AB3" w:rsidRPr="00345384" w14:paraId="0D10E6D2" w14:textId="77777777" w:rsidTr="0015023D">
        <w:trPr>
          <w:trHeight w:val="247"/>
        </w:trPr>
        <w:tc>
          <w:tcPr>
            <w:tcW w:w="630" w:type="dxa"/>
          </w:tcPr>
          <w:p w14:paraId="5977591E" w14:textId="77777777" w:rsidR="00803AB3" w:rsidRPr="00345384" w:rsidRDefault="00803AB3" w:rsidP="0015023D">
            <w:pPr>
              <w:pStyle w:val="TableParagraph"/>
              <w:spacing w:line="240" w:lineRule="auto"/>
              <w:rPr>
                <w:sz w:val="21"/>
                <w:szCs w:val="21"/>
              </w:rPr>
            </w:pPr>
            <w:r w:rsidRPr="00345384">
              <w:rPr>
                <w:sz w:val="21"/>
                <w:szCs w:val="21"/>
              </w:rPr>
              <w:t>010</w:t>
            </w:r>
          </w:p>
        </w:tc>
        <w:tc>
          <w:tcPr>
            <w:tcW w:w="3150" w:type="dxa"/>
          </w:tcPr>
          <w:p w14:paraId="52A2B228" w14:textId="77777777" w:rsidR="00803AB3" w:rsidRPr="00345384" w:rsidRDefault="00803AB3" w:rsidP="0015023D">
            <w:pPr>
              <w:pStyle w:val="TableParagraph"/>
              <w:spacing w:line="240" w:lineRule="auto"/>
              <w:rPr>
                <w:sz w:val="21"/>
                <w:szCs w:val="21"/>
              </w:rPr>
            </w:pPr>
            <w:r w:rsidRPr="00345384">
              <w:rPr>
                <w:sz w:val="21"/>
                <w:szCs w:val="21"/>
              </w:rPr>
              <w:t>Communication</w:t>
            </w:r>
          </w:p>
        </w:tc>
        <w:tc>
          <w:tcPr>
            <w:tcW w:w="6310" w:type="dxa"/>
          </w:tcPr>
          <w:p w14:paraId="469995B4" w14:textId="77777777" w:rsidR="00803AB3" w:rsidRPr="00345384" w:rsidRDefault="00803AB3" w:rsidP="0015023D">
            <w:pPr>
              <w:pStyle w:val="TableParagraph"/>
              <w:spacing w:line="240" w:lineRule="auto"/>
              <w:rPr>
                <w:i/>
                <w:sz w:val="21"/>
                <w:szCs w:val="21"/>
              </w:rPr>
            </w:pPr>
            <w:r w:rsidRPr="00345384">
              <w:rPr>
                <w:sz w:val="21"/>
                <w:szCs w:val="21"/>
              </w:rPr>
              <w:t>6 required hours</w:t>
            </w:r>
          </w:p>
        </w:tc>
      </w:tr>
      <w:tr w:rsidR="00803AB3" w:rsidRPr="00345384" w14:paraId="27D8D8D1" w14:textId="77777777" w:rsidTr="0015023D">
        <w:trPr>
          <w:trHeight w:val="245"/>
        </w:trPr>
        <w:tc>
          <w:tcPr>
            <w:tcW w:w="630" w:type="dxa"/>
          </w:tcPr>
          <w:p w14:paraId="5C73C441" w14:textId="77777777" w:rsidR="00803AB3" w:rsidRPr="00345384" w:rsidRDefault="00803AB3" w:rsidP="0015023D">
            <w:pPr>
              <w:pStyle w:val="TableParagraph"/>
              <w:spacing w:line="240" w:lineRule="auto"/>
              <w:rPr>
                <w:sz w:val="21"/>
                <w:szCs w:val="21"/>
              </w:rPr>
            </w:pPr>
            <w:r w:rsidRPr="00345384">
              <w:rPr>
                <w:sz w:val="21"/>
                <w:szCs w:val="21"/>
              </w:rPr>
              <w:t>020</w:t>
            </w:r>
          </w:p>
        </w:tc>
        <w:tc>
          <w:tcPr>
            <w:tcW w:w="3150" w:type="dxa"/>
          </w:tcPr>
          <w:p w14:paraId="603CD3C5" w14:textId="77777777" w:rsidR="00803AB3" w:rsidRPr="00345384" w:rsidRDefault="00803AB3" w:rsidP="0015023D">
            <w:pPr>
              <w:pStyle w:val="TableParagraph"/>
              <w:spacing w:line="240" w:lineRule="auto"/>
              <w:rPr>
                <w:sz w:val="21"/>
                <w:szCs w:val="21"/>
              </w:rPr>
            </w:pPr>
            <w:r w:rsidRPr="00345384">
              <w:rPr>
                <w:sz w:val="21"/>
                <w:szCs w:val="21"/>
              </w:rPr>
              <w:t>Mathematics</w:t>
            </w:r>
          </w:p>
        </w:tc>
        <w:tc>
          <w:tcPr>
            <w:tcW w:w="6310" w:type="dxa"/>
          </w:tcPr>
          <w:p w14:paraId="18950476" w14:textId="77777777" w:rsidR="00803AB3" w:rsidRPr="00345384" w:rsidRDefault="00803AB3" w:rsidP="0015023D">
            <w:pPr>
              <w:pStyle w:val="TableParagraph"/>
              <w:spacing w:line="240" w:lineRule="auto"/>
              <w:rPr>
                <w:i/>
                <w:sz w:val="21"/>
                <w:szCs w:val="21"/>
              </w:rPr>
            </w:pPr>
            <w:r w:rsidRPr="00345384">
              <w:rPr>
                <w:sz w:val="21"/>
                <w:szCs w:val="21"/>
              </w:rPr>
              <w:t xml:space="preserve">3 required hours </w:t>
            </w:r>
            <w:r w:rsidRPr="00345384">
              <w:rPr>
                <w:i/>
                <w:sz w:val="21"/>
                <w:szCs w:val="21"/>
              </w:rPr>
              <w:t>(see Recommended Core Curriculum Choices below)</w:t>
            </w:r>
          </w:p>
        </w:tc>
      </w:tr>
      <w:tr w:rsidR="00803AB3" w:rsidRPr="00345384" w14:paraId="785477B7" w14:textId="77777777" w:rsidTr="0015023D">
        <w:trPr>
          <w:trHeight w:val="246"/>
        </w:trPr>
        <w:tc>
          <w:tcPr>
            <w:tcW w:w="630" w:type="dxa"/>
          </w:tcPr>
          <w:p w14:paraId="45029B5F" w14:textId="77777777" w:rsidR="00803AB3" w:rsidRPr="00345384" w:rsidRDefault="00803AB3" w:rsidP="0015023D">
            <w:pPr>
              <w:pStyle w:val="TableParagraph"/>
              <w:spacing w:line="240" w:lineRule="auto"/>
              <w:rPr>
                <w:sz w:val="21"/>
                <w:szCs w:val="21"/>
              </w:rPr>
            </w:pPr>
            <w:r w:rsidRPr="00345384">
              <w:rPr>
                <w:sz w:val="21"/>
                <w:szCs w:val="21"/>
              </w:rPr>
              <w:t>030</w:t>
            </w:r>
          </w:p>
        </w:tc>
        <w:tc>
          <w:tcPr>
            <w:tcW w:w="3150" w:type="dxa"/>
          </w:tcPr>
          <w:p w14:paraId="100F765D" w14:textId="77777777" w:rsidR="00803AB3" w:rsidRPr="00345384" w:rsidRDefault="00803AB3" w:rsidP="0015023D">
            <w:pPr>
              <w:pStyle w:val="TableParagraph"/>
              <w:spacing w:line="240" w:lineRule="auto"/>
              <w:rPr>
                <w:sz w:val="21"/>
                <w:szCs w:val="21"/>
              </w:rPr>
            </w:pPr>
            <w:r w:rsidRPr="00345384">
              <w:rPr>
                <w:sz w:val="21"/>
                <w:szCs w:val="21"/>
              </w:rPr>
              <w:t>Life and Physical Sciences</w:t>
            </w:r>
          </w:p>
        </w:tc>
        <w:tc>
          <w:tcPr>
            <w:tcW w:w="6310" w:type="dxa"/>
          </w:tcPr>
          <w:p w14:paraId="3C3C8203" w14:textId="757CD4F9" w:rsidR="00803AB3" w:rsidRPr="00345384" w:rsidRDefault="00803AB3" w:rsidP="0015023D">
            <w:pPr>
              <w:pStyle w:val="TableParagraph"/>
              <w:spacing w:line="240" w:lineRule="auto"/>
              <w:rPr>
                <w:sz w:val="21"/>
                <w:szCs w:val="21"/>
              </w:rPr>
            </w:pPr>
            <w:r w:rsidRPr="00345384">
              <w:rPr>
                <w:sz w:val="21"/>
                <w:szCs w:val="21"/>
              </w:rPr>
              <w:t>6 required hours</w:t>
            </w:r>
          </w:p>
        </w:tc>
      </w:tr>
      <w:tr w:rsidR="00803AB3" w:rsidRPr="00345384" w14:paraId="311BDAFD" w14:textId="77777777" w:rsidTr="0015023D">
        <w:trPr>
          <w:trHeight w:val="246"/>
        </w:trPr>
        <w:tc>
          <w:tcPr>
            <w:tcW w:w="630" w:type="dxa"/>
          </w:tcPr>
          <w:p w14:paraId="5B81A462" w14:textId="77777777" w:rsidR="00803AB3" w:rsidRPr="00345384" w:rsidRDefault="00803AB3" w:rsidP="0015023D">
            <w:pPr>
              <w:pStyle w:val="TableParagraph"/>
              <w:spacing w:line="240" w:lineRule="auto"/>
              <w:rPr>
                <w:sz w:val="21"/>
                <w:szCs w:val="21"/>
              </w:rPr>
            </w:pPr>
            <w:r w:rsidRPr="00345384">
              <w:rPr>
                <w:sz w:val="21"/>
                <w:szCs w:val="21"/>
              </w:rPr>
              <w:t>040</w:t>
            </w:r>
          </w:p>
        </w:tc>
        <w:tc>
          <w:tcPr>
            <w:tcW w:w="3150" w:type="dxa"/>
          </w:tcPr>
          <w:p w14:paraId="178C3C04" w14:textId="77777777" w:rsidR="00803AB3" w:rsidRPr="00345384" w:rsidRDefault="00803AB3" w:rsidP="0015023D">
            <w:pPr>
              <w:pStyle w:val="TableParagraph"/>
              <w:spacing w:line="240" w:lineRule="auto"/>
              <w:rPr>
                <w:sz w:val="21"/>
                <w:szCs w:val="21"/>
              </w:rPr>
            </w:pPr>
            <w:r w:rsidRPr="00345384">
              <w:rPr>
                <w:sz w:val="21"/>
                <w:szCs w:val="21"/>
              </w:rPr>
              <w:t>Language, Philosophy &amp; Culture</w:t>
            </w:r>
          </w:p>
        </w:tc>
        <w:tc>
          <w:tcPr>
            <w:tcW w:w="6310" w:type="dxa"/>
          </w:tcPr>
          <w:p w14:paraId="79E714F4" w14:textId="77777777" w:rsidR="00803AB3" w:rsidRPr="00345384" w:rsidRDefault="00803AB3" w:rsidP="0015023D">
            <w:pPr>
              <w:pStyle w:val="TableParagraph"/>
              <w:spacing w:line="240" w:lineRule="auto"/>
              <w:rPr>
                <w:i/>
                <w:sz w:val="21"/>
                <w:szCs w:val="21"/>
              </w:rPr>
            </w:pPr>
            <w:r w:rsidRPr="00345384">
              <w:rPr>
                <w:sz w:val="21"/>
                <w:szCs w:val="21"/>
              </w:rPr>
              <w:t>3 required hours</w:t>
            </w:r>
          </w:p>
        </w:tc>
      </w:tr>
      <w:tr w:rsidR="00803AB3" w:rsidRPr="00345384" w14:paraId="54814780" w14:textId="77777777" w:rsidTr="0015023D">
        <w:trPr>
          <w:trHeight w:val="245"/>
        </w:trPr>
        <w:tc>
          <w:tcPr>
            <w:tcW w:w="630" w:type="dxa"/>
          </w:tcPr>
          <w:p w14:paraId="14ACE99D" w14:textId="77777777" w:rsidR="00803AB3" w:rsidRPr="00345384" w:rsidRDefault="00803AB3" w:rsidP="0015023D">
            <w:pPr>
              <w:pStyle w:val="TableParagraph"/>
              <w:spacing w:line="240" w:lineRule="auto"/>
              <w:rPr>
                <w:sz w:val="21"/>
                <w:szCs w:val="21"/>
              </w:rPr>
            </w:pPr>
            <w:r w:rsidRPr="00345384">
              <w:rPr>
                <w:sz w:val="21"/>
                <w:szCs w:val="21"/>
              </w:rPr>
              <w:t>050</w:t>
            </w:r>
          </w:p>
        </w:tc>
        <w:tc>
          <w:tcPr>
            <w:tcW w:w="3150" w:type="dxa"/>
          </w:tcPr>
          <w:p w14:paraId="488AED5F" w14:textId="77777777" w:rsidR="00803AB3" w:rsidRPr="00345384" w:rsidRDefault="00803AB3" w:rsidP="0015023D">
            <w:pPr>
              <w:pStyle w:val="TableParagraph"/>
              <w:spacing w:line="240" w:lineRule="auto"/>
              <w:rPr>
                <w:sz w:val="21"/>
                <w:szCs w:val="21"/>
              </w:rPr>
            </w:pPr>
            <w:r w:rsidRPr="00345384">
              <w:rPr>
                <w:sz w:val="21"/>
                <w:szCs w:val="21"/>
              </w:rPr>
              <w:t>Creative Arts</w:t>
            </w:r>
          </w:p>
        </w:tc>
        <w:tc>
          <w:tcPr>
            <w:tcW w:w="6310" w:type="dxa"/>
          </w:tcPr>
          <w:p w14:paraId="14C13E57" w14:textId="77777777" w:rsidR="00803AB3" w:rsidRPr="00345384" w:rsidRDefault="00803AB3" w:rsidP="0015023D">
            <w:pPr>
              <w:pStyle w:val="TableParagraph"/>
              <w:spacing w:line="240" w:lineRule="auto"/>
              <w:rPr>
                <w:sz w:val="21"/>
                <w:szCs w:val="21"/>
              </w:rPr>
            </w:pPr>
            <w:r w:rsidRPr="00345384">
              <w:rPr>
                <w:sz w:val="21"/>
                <w:szCs w:val="21"/>
              </w:rPr>
              <w:t>3 required hours</w:t>
            </w:r>
          </w:p>
        </w:tc>
      </w:tr>
      <w:tr w:rsidR="00803AB3" w:rsidRPr="00345384" w14:paraId="0C0B28B1" w14:textId="77777777" w:rsidTr="0015023D">
        <w:trPr>
          <w:trHeight w:val="246"/>
        </w:trPr>
        <w:tc>
          <w:tcPr>
            <w:tcW w:w="630" w:type="dxa"/>
          </w:tcPr>
          <w:p w14:paraId="7EA0E6AB" w14:textId="77777777" w:rsidR="00803AB3" w:rsidRPr="00345384" w:rsidRDefault="00803AB3" w:rsidP="0015023D">
            <w:pPr>
              <w:pStyle w:val="TableParagraph"/>
              <w:spacing w:line="240" w:lineRule="auto"/>
              <w:rPr>
                <w:sz w:val="21"/>
                <w:szCs w:val="21"/>
              </w:rPr>
            </w:pPr>
            <w:r w:rsidRPr="00345384">
              <w:rPr>
                <w:sz w:val="21"/>
                <w:szCs w:val="21"/>
              </w:rPr>
              <w:t>060</w:t>
            </w:r>
          </w:p>
        </w:tc>
        <w:tc>
          <w:tcPr>
            <w:tcW w:w="3150" w:type="dxa"/>
          </w:tcPr>
          <w:p w14:paraId="7DBE20E8" w14:textId="77777777" w:rsidR="00803AB3" w:rsidRPr="00345384" w:rsidRDefault="00803AB3" w:rsidP="0015023D">
            <w:pPr>
              <w:pStyle w:val="TableParagraph"/>
              <w:spacing w:line="240" w:lineRule="auto"/>
              <w:rPr>
                <w:sz w:val="21"/>
                <w:szCs w:val="21"/>
              </w:rPr>
            </w:pPr>
            <w:r w:rsidRPr="00345384">
              <w:rPr>
                <w:sz w:val="21"/>
                <w:szCs w:val="21"/>
              </w:rPr>
              <w:t>American History</w:t>
            </w:r>
          </w:p>
        </w:tc>
        <w:tc>
          <w:tcPr>
            <w:tcW w:w="6310" w:type="dxa"/>
          </w:tcPr>
          <w:p w14:paraId="02016EFA" w14:textId="77777777" w:rsidR="00803AB3" w:rsidRPr="00345384" w:rsidRDefault="00803AB3" w:rsidP="0015023D">
            <w:pPr>
              <w:pStyle w:val="TableParagraph"/>
              <w:spacing w:line="240" w:lineRule="auto"/>
              <w:rPr>
                <w:sz w:val="21"/>
                <w:szCs w:val="21"/>
              </w:rPr>
            </w:pPr>
            <w:r w:rsidRPr="00345384">
              <w:rPr>
                <w:sz w:val="21"/>
                <w:szCs w:val="21"/>
              </w:rPr>
              <w:t>6 required hours</w:t>
            </w:r>
          </w:p>
        </w:tc>
      </w:tr>
      <w:tr w:rsidR="00803AB3" w:rsidRPr="00345384" w14:paraId="55EF0537" w14:textId="77777777" w:rsidTr="0015023D">
        <w:trPr>
          <w:trHeight w:val="246"/>
        </w:trPr>
        <w:tc>
          <w:tcPr>
            <w:tcW w:w="630" w:type="dxa"/>
          </w:tcPr>
          <w:p w14:paraId="2324C6CD" w14:textId="77777777" w:rsidR="00803AB3" w:rsidRPr="00345384" w:rsidRDefault="00803AB3" w:rsidP="0015023D">
            <w:pPr>
              <w:pStyle w:val="TableParagraph"/>
              <w:spacing w:line="240" w:lineRule="auto"/>
              <w:rPr>
                <w:sz w:val="21"/>
                <w:szCs w:val="21"/>
              </w:rPr>
            </w:pPr>
            <w:r w:rsidRPr="00345384">
              <w:rPr>
                <w:sz w:val="21"/>
                <w:szCs w:val="21"/>
              </w:rPr>
              <w:t>070</w:t>
            </w:r>
          </w:p>
        </w:tc>
        <w:tc>
          <w:tcPr>
            <w:tcW w:w="3150" w:type="dxa"/>
          </w:tcPr>
          <w:p w14:paraId="54EB6F4B" w14:textId="77777777" w:rsidR="00803AB3" w:rsidRPr="00345384" w:rsidRDefault="00803AB3" w:rsidP="0015023D">
            <w:pPr>
              <w:pStyle w:val="TableParagraph"/>
              <w:spacing w:line="240" w:lineRule="auto"/>
              <w:rPr>
                <w:sz w:val="21"/>
                <w:szCs w:val="21"/>
              </w:rPr>
            </w:pPr>
            <w:r w:rsidRPr="00345384">
              <w:rPr>
                <w:sz w:val="21"/>
                <w:szCs w:val="21"/>
              </w:rPr>
              <w:t>Government/Political Science</w:t>
            </w:r>
          </w:p>
        </w:tc>
        <w:tc>
          <w:tcPr>
            <w:tcW w:w="6310" w:type="dxa"/>
          </w:tcPr>
          <w:p w14:paraId="6719701D" w14:textId="77777777" w:rsidR="00803AB3" w:rsidRPr="00345384" w:rsidRDefault="00803AB3" w:rsidP="0015023D">
            <w:pPr>
              <w:pStyle w:val="TableParagraph"/>
              <w:spacing w:line="240" w:lineRule="auto"/>
              <w:rPr>
                <w:sz w:val="21"/>
                <w:szCs w:val="21"/>
              </w:rPr>
            </w:pPr>
            <w:r w:rsidRPr="00345384">
              <w:rPr>
                <w:sz w:val="21"/>
                <w:szCs w:val="21"/>
              </w:rPr>
              <w:t>6 required hours</w:t>
            </w:r>
          </w:p>
        </w:tc>
      </w:tr>
      <w:tr w:rsidR="00803AB3" w:rsidRPr="00345384" w14:paraId="6B96F1A7" w14:textId="77777777" w:rsidTr="0015023D">
        <w:trPr>
          <w:trHeight w:val="247"/>
        </w:trPr>
        <w:tc>
          <w:tcPr>
            <w:tcW w:w="630" w:type="dxa"/>
          </w:tcPr>
          <w:p w14:paraId="4DA7F269" w14:textId="77777777" w:rsidR="00803AB3" w:rsidRPr="00345384" w:rsidRDefault="00803AB3" w:rsidP="0015023D">
            <w:pPr>
              <w:pStyle w:val="TableParagraph"/>
              <w:spacing w:line="240" w:lineRule="auto"/>
              <w:rPr>
                <w:sz w:val="21"/>
                <w:szCs w:val="21"/>
              </w:rPr>
            </w:pPr>
            <w:r w:rsidRPr="00345384">
              <w:rPr>
                <w:sz w:val="21"/>
                <w:szCs w:val="21"/>
              </w:rPr>
              <w:t>080</w:t>
            </w:r>
          </w:p>
        </w:tc>
        <w:tc>
          <w:tcPr>
            <w:tcW w:w="3150" w:type="dxa"/>
          </w:tcPr>
          <w:p w14:paraId="3F0B8168" w14:textId="77777777" w:rsidR="00803AB3" w:rsidRPr="00345384" w:rsidRDefault="00803AB3" w:rsidP="0015023D">
            <w:pPr>
              <w:pStyle w:val="TableParagraph"/>
              <w:spacing w:line="240" w:lineRule="auto"/>
              <w:rPr>
                <w:sz w:val="21"/>
                <w:szCs w:val="21"/>
              </w:rPr>
            </w:pPr>
            <w:r w:rsidRPr="00345384">
              <w:rPr>
                <w:sz w:val="21"/>
                <w:szCs w:val="21"/>
              </w:rPr>
              <w:t>Social and Behavioral Sciences</w:t>
            </w:r>
          </w:p>
        </w:tc>
        <w:tc>
          <w:tcPr>
            <w:tcW w:w="6310" w:type="dxa"/>
          </w:tcPr>
          <w:p w14:paraId="377055C3" w14:textId="05FF1E26" w:rsidR="00803AB3" w:rsidRPr="00345384" w:rsidRDefault="00803AB3" w:rsidP="0015023D">
            <w:pPr>
              <w:pStyle w:val="TableParagraph"/>
              <w:spacing w:line="240" w:lineRule="auto"/>
              <w:rPr>
                <w:i/>
                <w:sz w:val="21"/>
                <w:szCs w:val="21"/>
              </w:rPr>
            </w:pPr>
            <w:r w:rsidRPr="00345384">
              <w:rPr>
                <w:sz w:val="21"/>
                <w:szCs w:val="21"/>
              </w:rPr>
              <w:t>3 required hours</w:t>
            </w:r>
          </w:p>
        </w:tc>
      </w:tr>
      <w:tr w:rsidR="00803AB3" w:rsidRPr="00345384" w14:paraId="0AABF4AF" w14:textId="77777777" w:rsidTr="0015023D">
        <w:trPr>
          <w:trHeight w:val="247"/>
        </w:trPr>
        <w:tc>
          <w:tcPr>
            <w:tcW w:w="630" w:type="dxa"/>
          </w:tcPr>
          <w:p w14:paraId="18C18F61" w14:textId="77777777" w:rsidR="00803AB3" w:rsidRPr="00345384" w:rsidRDefault="00803AB3" w:rsidP="0015023D">
            <w:pPr>
              <w:pStyle w:val="TableParagraph"/>
              <w:spacing w:line="240" w:lineRule="auto"/>
              <w:rPr>
                <w:sz w:val="21"/>
                <w:szCs w:val="21"/>
              </w:rPr>
            </w:pPr>
            <w:r w:rsidRPr="00345384">
              <w:rPr>
                <w:sz w:val="21"/>
                <w:szCs w:val="21"/>
              </w:rPr>
              <w:t>090</w:t>
            </w:r>
          </w:p>
        </w:tc>
        <w:tc>
          <w:tcPr>
            <w:tcW w:w="3150" w:type="dxa"/>
          </w:tcPr>
          <w:p w14:paraId="54A62B84" w14:textId="77777777" w:rsidR="00803AB3" w:rsidRPr="00345384" w:rsidRDefault="00803AB3" w:rsidP="0015023D">
            <w:pPr>
              <w:pStyle w:val="TableParagraph"/>
              <w:spacing w:line="240" w:lineRule="auto"/>
              <w:rPr>
                <w:sz w:val="21"/>
                <w:szCs w:val="21"/>
              </w:rPr>
            </w:pPr>
            <w:r w:rsidRPr="00345384">
              <w:rPr>
                <w:sz w:val="21"/>
                <w:szCs w:val="21"/>
              </w:rPr>
              <w:t>Component Area Option</w:t>
            </w:r>
          </w:p>
        </w:tc>
        <w:tc>
          <w:tcPr>
            <w:tcW w:w="6310" w:type="dxa"/>
          </w:tcPr>
          <w:p w14:paraId="05E05866" w14:textId="77777777" w:rsidR="00803AB3" w:rsidRPr="00345384" w:rsidRDefault="00803AB3" w:rsidP="0015023D">
            <w:pPr>
              <w:pStyle w:val="TableParagraph"/>
              <w:spacing w:line="240" w:lineRule="auto"/>
              <w:rPr>
                <w:i/>
                <w:sz w:val="21"/>
                <w:szCs w:val="21"/>
              </w:rPr>
            </w:pPr>
            <w:r w:rsidRPr="00345384">
              <w:rPr>
                <w:sz w:val="21"/>
                <w:szCs w:val="21"/>
              </w:rPr>
              <w:t>6 required hours</w:t>
            </w:r>
          </w:p>
        </w:tc>
      </w:tr>
    </w:tbl>
    <w:p w14:paraId="01D696D3" w14:textId="77777777" w:rsidR="00803AB3" w:rsidRPr="00345384" w:rsidRDefault="00803AB3" w:rsidP="00803AB3">
      <w:pPr>
        <w:pStyle w:val="BodyText"/>
        <w:ind w:left="360" w:right="180"/>
      </w:pPr>
    </w:p>
    <w:p w14:paraId="2064C770" w14:textId="77777777" w:rsidR="00803AB3" w:rsidRPr="00345384" w:rsidRDefault="00803AB3" w:rsidP="00803AB3">
      <w:pPr>
        <w:ind w:left="360" w:right="180"/>
        <w:rPr>
          <w:rFonts w:ascii="Cambria" w:hAnsi="Cambria"/>
          <w:i/>
          <w:sz w:val="21"/>
          <w:szCs w:val="21"/>
        </w:rPr>
      </w:pPr>
      <w:r w:rsidRPr="00345384">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345384" w:rsidRDefault="00803AB3" w:rsidP="00803AB3">
      <w:pPr>
        <w:pStyle w:val="BodyText"/>
        <w:ind w:left="360" w:right="180"/>
        <w:rPr>
          <w:i/>
        </w:rPr>
      </w:pPr>
    </w:p>
    <w:p w14:paraId="285B6F79" w14:textId="23EA7BCD" w:rsidR="00803AB3" w:rsidRPr="00345384" w:rsidRDefault="00803AB3" w:rsidP="003722F6">
      <w:pPr>
        <w:pStyle w:val="Heading2"/>
      </w:pPr>
      <w:r w:rsidRPr="00345384">
        <w:t>RECOMMENDED CORE CURRICULUM CHOICES FOR THE B</w:t>
      </w:r>
      <w:r w:rsidR="006013D1" w:rsidRPr="00345384">
        <w:t>HA</w:t>
      </w:r>
    </w:p>
    <w:p w14:paraId="56D03505" w14:textId="77777777" w:rsidR="00803AB3" w:rsidRPr="00345384" w:rsidRDefault="00803AB3" w:rsidP="00803AB3">
      <w:pPr>
        <w:pStyle w:val="BodyText"/>
        <w:ind w:left="360" w:right="180"/>
        <w:rPr>
          <w:b/>
        </w:rPr>
      </w:pPr>
    </w:p>
    <w:p w14:paraId="0C8EE646" w14:textId="47DB5B32" w:rsidR="00803AB3" w:rsidRPr="00345384" w:rsidRDefault="00803AB3" w:rsidP="00803AB3">
      <w:pPr>
        <w:pStyle w:val="BodyText"/>
        <w:ind w:left="360" w:right="180"/>
      </w:pPr>
      <w:r w:rsidRPr="00345384">
        <w:t xml:space="preserve">This degree requires specific courses for degree completion, and with wise planning, you may take courses that satisfy both the Core Curriculum and the </w:t>
      </w:r>
      <w:r w:rsidR="006013D1" w:rsidRPr="00345384">
        <w:t>BHA</w:t>
      </w:r>
      <w:r w:rsidRPr="00345384">
        <w:t xml:space="preserve"> requirements:</w:t>
      </w:r>
    </w:p>
    <w:p w14:paraId="6124BCA8" w14:textId="77777777" w:rsidR="00803AB3" w:rsidRPr="00345384"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1890"/>
        <w:gridCol w:w="3780"/>
        <w:gridCol w:w="3573"/>
      </w:tblGrid>
      <w:tr w:rsidR="00803AB3" w:rsidRPr="00345384" w14:paraId="024A450A" w14:textId="77777777" w:rsidTr="006013D1">
        <w:trPr>
          <w:trHeight w:val="257"/>
          <w:tblHeader/>
        </w:trPr>
        <w:tc>
          <w:tcPr>
            <w:tcW w:w="1890" w:type="dxa"/>
          </w:tcPr>
          <w:p w14:paraId="59665FD5" w14:textId="77777777" w:rsidR="00803AB3" w:rsidRPr="00345384" w:rsidRDefault="00803AB3" w:rsidP="0015023D">
            <w:pPr>
              <w:pStyle w:val="TableParagraph"/>
              <w:spacing w:line="240" w:lineRule="auto"/>
              <w:jc w:val="both"/>
              <w:rPr>
                <w:sz w:val="21"/>
                <w:szCs w:val="21"/>
              </w:rPr>
            </w:pPr>
            <w:r w:rsidRPr="00345384">
              <w:rPr>
                <w:sz w:val="21"/>
                <w:szCs w:val="21"/>
                <w:u w:val="single"/>
              </w:rPr>
              <w:t>Courses</w:t>
            </w:r>
          </w:p>
        </w:tc>
        <w:tc>
          <w:tcPr>
            <w:tcW w:w="3780" w:type="dxa"/>
          </w:tcPr>
          <w:p w14:paraId="4777504F" w14:textId="77777777" w:rsidR="00803AB3" w:rsidRPr="00345384" w:rsidRDefault="00803AB3" w:rsidP="0015023D">
            <w:pPr>
              <w:pStyle w:val="TableParagraph"/>
              <w:spacing w:line="240" w:lineRule="auto"/>
              <w:jc w:val="both"/>
              <w:rPr>
                <w:sz w:val="21"/>
                <w:szCs w:val="21"/>
              </w:rPr>
            </w:pPr>
            <w:r w:rsidRPr="00345384">
              <w:rPr>
                <w:sz w:val="21"/>
                <w:szCs w:val="21"/>
                <w:u w:val="single"/>
              </w:rPr>
              <w:t>TCCN</w:t>
            </w:r>
          </w:p>
        </w:tc>
        <w:tc>
          <w:tcPr>
            <w:tcW w:w="3573" w:type="dxa"/>
          </w:tcPr>
          <w:p w14:paraId="4750D00C" w14:textId="77777777" w:rsidR="00803AB3" w:rsidRPr="00345384" w:rsidRDefault="00803AB3" w:rsidP="0015023D">
            <w:pPr>
              <w:pStyle w:val="TableParagraph"/>
              <w:spacing w:line="240" w:lineRule="auto"/>
              <w:jc w:val="both"/>
              <w:rPr>
                <w:sz w:val="21"/>
                <w:szCs w:val="21"/>
              </w:rPr>
            </w:pPr>
            <w:r w:rsidRPr="00345384">
              <w:rPr>
                <w:sz w:val="21"/>
                <w:szCs w:val="21"/>
                <w:u w:val="single"/>
              </w:rPr>
              <w:t>TEXAS STATE</w:t>
            </w:r>
          </w:p>
        </w:tc>
      </w:tr>
      <w:tr w:rsidR="00803AB3" w:rsidRPr="00345384" w14:paraId="242B900F" w14:textId="77777777" w:rsidTr="006013D1">
        <w:trPr>
          <w:trHeight w:val="265"/>
        </w:trPr>
        <w:tc>
          <w:tcPr>
            <w:tcW w:w="1890" w:type="dxa"/>
          </w:tcPr>
          <w:p w14:paraId="76473A97" w14:textId="77777777" w:rsidR="00803AB3" w:rsidRPr="00345384" w:rsidRDefault="00803AB3" w:rsidP="0015023D">
            <w:pPr>
              <w:pStyle w:val="TableParagraph"/>
              <w:spacing w:line="240" w:lineRule="auto"/>
              <w:jc w:val="both"/>
              <w:rPr>
                <w:sz w:val="21"/>
                <w:szCs w:val="21"/>
              </w:rPr>
            </w:pPr>
            <w:r w:rsidRPr="00345384">
              <w:rPr>
                <w:sz w:val="21"/>
                <w:szCs w:val="21"/>
              </w:rPr>
              <w:t>020 Mathematics</w:t>
            </w:r>
          </w:p>
        </w:tc>
        <w:tc>
          <w:tcPr>
            <w:tcW w:w="3780" w:type="dxa"/>
          </w:tcPr>
          <w:p w14:paraId="790741BE" w14:textId="26BE180C" w:rsidR="00803AB3" w:rsidRPr="00345384" w:rsidRDefault="00803AB3" w:rsidP="0015023D">
            <w:pPr>
              <w:pStyle w:val="TableParagraph"/>
              <w:spacing w:line="240" w:lineRule="auto"/>
              <w:jc w:val="both"/>
              <w:rPr>
                <w:sz w:val="21"/>
                <w:szCs w:val="21"/>
              </w:rPr>
            </w:pPr>
            <w:r w:rsidRPr="00345384">
              <w:rPr>
                <w:sz w:val="21"/>
                <w:szCs w:val="21"/>
              </w:rPr>
              <w:t>MATH 1314, 1324, 1325, 2412 or 2413</w:t>
            </w:r>
          </w:p>
        </w:tc>
        <w:tc>
          <w:tcPr>
            <w:tcW w:w="3573" w:type="dxa"/>
          </w:tcPr>
          <w:p w14:paraId="03105222" w14:textId="390061E9" w:rsidR="00803AB3" w:rsidRPr="00345384" w:rsidRDefault="00803AB3" w:rsidP="0015023D">
            <w:pPr>
              <w:pStyle w:val="TableParagraph"/>
              <w:spacing w:line="240" w:lineRule="auto"/>
              <w:jc w:val="both"/>
              <w:rPr>
                <w:sz w:val="21"/>
                <w:szCs w:val="21"/>
              </w:rPr>
            </w:pPr>
            <w:r w:rsidRPr="00345384">
              <w:rPr>
                <w:sz w:val="21"/>
                <w:szCs w:val="21"/>
              </w:rPr>
              <w:t>MATH 1315, 1319, 132</w:t>
            </w:r>
            <w:r w:rsidR="006013D1" w:rsidRPr="00345384">
              <w:rPr>
                <w:sz w:val="21"/>
                <w:szCs w:val="21"/>
              </w:rPr>
              <w:t>9</w:t>
            </w:r>
            <w:r w:rsidRPr="00345384">
              <w:rPr>
                <w:sz w:val="21"/>
                <w:szCs w:val="21"/>
              </w:rPr>
              <w:t>, 2417 or 2471</w:t>
            </w:r>
          </w:p>
        </w:tc>
      </w:tr>
    </w:tbl>
    <w:p w14:paraId="486CED06" w14:textId="77777777" w:rsidR="003554F0" w:rsidRPr="00345384" w:rsidRDefault="003554F0" w:rsidP="00803AB3">
      <w:pPr>
        <w:pStyle w:val="BodyText"/>
        <w:ind w:left="360" w:right="180"/>
      </w:pPr>
    </w:p>
    <w:p w14:paraId="0091C941" w14:textId="04FEFC23" w:rsidR="00803AB3" w:rsidRPr="00345384" w:rsidRDefault="00803AB3" w:rsidP="003722F6">
      <w:pPr>
        <w:pStyle w:val="Heading2"/>
      </w:pPr>
      <w:r w:rsidRPr="00345384">
        <w:t xml:space="preserve">ADDITIONAL LOWER-DIVISION </w:t>
      </w:r>
      <w:r w:rsidR="006013D1" w:rsidRPr="00345384">
        <w:t>BHA</w:t>
      </w:r>
      <w:r w:rsidRPr="00345384">
        <w:t xml:space="preserve"> REQUIREMENTS</w:t>
      </w:r>
    </w:p>
    <w:p w14:paraId="73E27796" w14:textId="77777777" w:rsidR="00803AB3" w:rsidRPr="00345384" w:rsidRDefault="00803AB3" w:rsidP="00803AB3">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2"/>
        <w:gridCol w:w="3960"/>
      </w:tblGrid>
      <w:tr w:rsidR="00803AB3" w:rsidRPr="00345384" w14:paraId="32817231" w14:textId="77777777" w:rsidTr="006013D1">
        <w:trPr>
          <w:trHeight w:val="265"/>
          <w:tblHeader/>
        </w:trPr>
        <w:tc>
          <w:tcPr>
            <w:tcW w:w="5562" w:type="dxa"/>
          </w:tcPr>
          <w:p w14:paraId="52129F71" w14:textId="77777777" w:rsidR="00803AB3" w:rsidRPr="00345384" w:rsidRDefault="00803AB3" w:rsidP="00901465">
            <w:pPr>
              <w:ind w:right="180"/>
              <w:rPr>
                <w:rFonts w:ascii="Cambria" w:hAnsi="Cambria"/>
                <w:sz w:val="21"/>
                <w:szCs w:val="21"/>
              </w:rPr>
            </w:pPr>
            <w:r w:rsidRPr="00345384">
              <w:rPr>
                <w:rFonts w:ascii="Cambria" w:hAnsi="Cambria"/>
                <w:sz w:val="21"/>
                <w:szCs w:val="21"/>
                <w:u w:val="single"/>
              </w:rPr>
              <w:t>TCCN</w:t>
            </w:r>
          </w:p>
        </w:tc>
        <w:tc>
          <w:tcPr>
            <w:tcW w:w="3960" w:type="dxa"/>
          </w:tcPr>
          <w:p w14:paraId="2F7B9149" w14:textId="77777777" w:rsidR="00803AB3" w:rsidRPr="00345384" w:rsidRDefault="00803AB3" w:rsidP="00901465">
            <w:pPr>
              <w:ind w:right="180"/>
              <w:rPr>
                <w:rFonts w:ascii="Cambria" w:hAnsi="Cambria"/>
                <w:sz w:val="21"/>
                <w:szCs w:val="21"/>
              </w:rPr>
            </w:pPr>
            <w:r w:rsidRPr="00345384">
              <w:rPr>
                <w:rFonts w:ascii="Cambria" w:hAnsi="Cambria"/>
                <w:sz w:val="21"/>
                <w:szCs w:val="21"/>
                <w:u w:val="single"/>
              </w:rPr>
              <w:t>TEXAS</w:t>
            </w:r>
            <w:r w:rsidRPr="00345384">
              <w:rPr>
                <w:rFonts w:ascii="Cambria" w:hAnsi="Cambria"/>
                <w:spacing w:val="-2"/>
                <w:sz w:val="21"/>
                <w:szCs w:val="21"/>
                <w:u w:val="single"/>
              </w:rPr>
              <w:t xml:space="preserve"> </w:t>
            </w:r>
            <w:r w:rsidRPr="00345384">
              <w:rPr>
                <w:rFonts w:ascii="Cambria" w:hAnsi="Cambria"/>
                <w:sz w:val="21"/>
                <w:szCs w:val="21"/>
                <w:u w:val="single"/>
              </w:rPr>
              <w:t>STATE</w:t>
            </w:r>
          </w:p>
        </w:tc>
      </w:tr>
      <w:tr w:rsidR="00803AB3" w:rsidRPr="00345384" w14:paraId="4536D268" w14:textId="77777777" w:rsidTr="006013D1">
        <w:trPr>
          <w:trHeight w:val="265"/>
          <w:tblHeader/>
        </w:trPr>
        <w:tc>
          <w:tcPr>
            <w:tcW w:w="5562" w:type="dxa"/>
          </w:tcPr>
          <w:p w14:paraId="2B067F05" w14:textId="27AFC95D" w:rsidR="00803AB3" w:rsidRPr="00345384" w:rsidRDefault="006013D1" w:rsidP="00901465">
            <w:pPr>
              <w:ind w:right="180"/>
              <w:rPr>
                <w:rFonts w:ascii="Cambria" w:hAnsi="Cambria"/>
                <w:sz w:val="21"/>
                <w:szCs w:val="21"/>
              </w:rPr>
            </w:pPr>
            <w:r w:rsidRPr="00345384">
              <w:rPr>
                <w:rFonts w:ascii="Cambria" w:hAnsi="Cambria"/>
                <w:sz w:val="21"/>
                <w:szCs w:val="21"/>
              </w:rPr>
              <w:t>ECON 1301 or 2302</w:t>
            </w:r>
          </w:p>
        </w:tc>
        <w:tc>
          <w:tcPr>
            <w:tcW w:w="3960" w:type="dxa"/>
          </w:tcPr>
          <w:p w14:paraId="3343A5A7" w14:textId="024EC662" w:rsidR="00803AB3" w:rsidRPr="00345384" w:rsidRDefault="006013D1" w:rsidP="00901465">
            <w:pPr>
              <w:ind w:right="180"/>
              <w:rPr>
                <w:rFonts w:ascii="Cambria" w:hAnsi="Cambria"/>
                <w:sz w:val="21"/>
                <w:szCs w:val="21"/>
              </w:rPr>
            </w:pPr>
            <w:r w:rsidRPr="00345384">
              <w:rPr>
                <w:rFonts w:ascii="Cambria" w:hAnsi="Cambria"/>
                <w:sz w:val="21"/>
                <w:szCs w:val="21"/>
              </w:rPr>
              <w:t>ECO 2301 or 2314</w:t>
            </w:r>
          </w:p>
        </w:tc>
      </w:tr>
      <w:tr w:rsidR="00803AB3" w:rsidRPr="00345384" w14:paraId="71A6A592" w14:textId="77777777" w:rsidTr="006013D1">
        <w:trPr>
          <w:trHeight w:val="265"/>
          <w:tblHeader/>
        </w:trPr>
        <w:tc>
          <w:tcPr>
            <w:tcW w:w="5562" w:type="dxa"/>
          </w:tcPr>
          <w:p w14:paraId="6332B858" w14:textId="476EE142" w:rsidR="00803AB3" w:rsidRPr="00345384" w:rsidRDefault="006013D1" w:rsidP="00901465">
            <w:pPr>
              <w:ind w:right="180"/>
              <w:rPr>
                <w:rFonts w:ascii="Cambria" w:hAnsi="Cambria"/>
                <w:sz w:val="21"/>
                <w:szCs w:val="21"/>
              </w:rPr>
            </w:pPr>
            <w:r w:rsidRPr="00345384">
              <w:rPr>
                <w:rFonts w:ascii="Cambria" w:hAnsi="Cambria"/>
                <w:sz w:val="21"/>
                <w:szCs w:val="21"/>
              </w:rPr>
              <w:t>PSYC 2317</w:t>
            </w:r>
          </w:p>
        </w:tc>
        <w:tc>
          <w:tcPr>
            <w:tcW w:w="3960" w:type="dxa"/>
          </w:tcPr>
          <w:p w14:paraId="2BD6FCA2" w14:textId="704E8CD6" w:rsidR="00803AB3" w:rsidRPr="00345384" w:rsidRDefault="006013D1" w:rsidP="00901465">
            <w:pPr>
              <w:ind w:right="180"/>
              <w:rPr>
                <w:rFonts w:ascii="Cambria" w:hAnsi="Cambria"/>
                <w:sz w:val="21"/>
                <w:szCs w:val="21"/>
              </w:rPr>
            </w:pPr>
            <w:r w:rsidRPr="00345384">
              <w:rPr>
                <w:rFonts w:ascii="Cambria" w:hAnsi="Cambria"/>
                <w:sz w:val="21"/>
                <w:szCs w:val="21"/>
              </w:rPr>
              <w:t xml:space="preserve">PSY 2301 </w:t>
            </w:r>
            <w:r w:rsidRPr="00345384">
              <w:rPr>
                <w:rFonts w:ascii="Cambria" w:hAnsi="Cambria"/>
                <w:i/>
                <w:iCs/>
                <w:sz w:val="21"/>
                <w:szCs w:val="21"/>
              </w:rPr>
              <w:t>(substitutes for</w:t>
            </w:r>
            <w:r w:rsidRPr="00345384">
              <w:rPr>
                <w:rFonts w:ascii="Cambria" w:hAnsi="Cambria"/>
                <w:sz w:val="21"/>
                <w:szCs w:val="21"/>
              </w:rPr>
              <w:t xml:space="preserve"> HP 3325</w:t>
            </w:r>
            <w:r w:rsidRPr="00345384">
              <w:rPr>
                <w:rFonts w:ascii="Cambria" w:hAnsi="Cambria"/>
                <w:i/>
                <w:iCs/>
                <w:sz w:val="21"/>
                <w:szCs w:val="21"/>
              </w:rPr>
              <w:t>)</w:t>
            </w:r>
          </w:p>
        </w:tc>
      </w:tr>
      <w:tr w:rsidR="00803AB3" w:rsidRPr="00345384" w14:paraId="2DECFFAB" w14:textId="77777777" w:rsidTr="006013D1">
        <w:trPr>
          <w:trHeight w:val="249"/>
          <w:tblHeader/>
        </w:trPr>
        <w:tc>
          <w:tcPr>
            <w:tcW w:w="5562" w:type="dxa"/>
          </w:tcPr>
          <w:p w14:paraId="212AC043" w14:textId="75B25B55" w:rsidR="00803AB3" w:rsidRPr="00345384" w:rsidRDefault="006013D1" w:rsidP="00901465">
            <w:pPr>
              <w:ind w:right="180"/>
              <w:rPr>
                <w:rFonts w:ascii="Cambria" w:hAnsi="Cambria"/>
                <w:sz w:val="21"/>
                <w:szCs w:val="21"/>
              </w:rPr>
            </w:pPr>
            <w:r w:rsidRPr="00345384">
              <w:rPr>
                <w:rFonts w:ascii="Cambria" w:hAnsi="Cambria"/>
                <w:sz w:val="21"/>
                <w:szCs w:val="21"/>
              </w:rPr>
              <w:t>BCIS 1305 or COSC 1300 or COSC 1301 or COSC 1400</w:t>
            </w:r>
          </w:p>
        </w:tc>
        <w:tc>
          <w:tcPr>
            <w:tcW w:w="3960" w:type="dxa"/>
          </w:tcPr>
          <w:p w14:paraId="001E8550" w14:textId="26CF657B" w:rsidR="00803AB3" w:rsidRPr="00345384" w:rsidRDefault="006013D1" w:rsidP="00901465">
            <w:pPr>
              <w:ind w:right="180"/>
              <w:rPr>
                <w:rFonts w:ascii="Cambria" w:hAnsi="Cambria"/>
                <w:sz w:val="21"/>
                <w:szCs w:val="21"/>
              </w:rPr>
            </w:pPr>
            <w:r w:rsidRPr="00345384">
              <w:rPr>
                <w:rFonts w:ascii="Cambria" w:hAnsi="Cambria"/>
                <w:sz w:val="21"/>
                <w:szCs w:val="21"/>
              </w:rPr>
              <w:t>CIS 1323 or CS 1308</w:t>
            </w:r>
          </w:p>
        </w:tc>
      </w:tr>
    </w:tbl>
    <w:p w14:paraId="7D565896" w14:textId="35D27DA0" w:rsidR="00BE472D" w:rsidRPr="00345384" w:rsidRDefault="00BE472D">
      <w:pPr>
        <w:rPr>
          <w:rFonts w:ascii="Cambria" w:eastAsia="Cambria" w:hAnsi="Cambria" w:cs="Cambria"/>
          <w:sz w:val="21"/>
          <w:szCs w:val="21"/>
          <w:lang w:val="en" w:bidi="en-US"/>
        </w:rPr>
      </w:pPr>
    </w:p>
    <w:p w14:paraId="5BA53390" w14:textId="77777777" w:rsidR="006013D1" w:rsidRPr="00345384" w:rsidRDefault="006013D1">
      <w:pPr>
        <w:rPr>
          <w:rFonts w:ascii="Cambria" w:eastAsia="Cambria" w:hAnsi="Cambria" w:cs="Cambria"/>
          <w:sz w:val="21"/>
          <w:szCs w:val="21"/>
          <w:lang w:val="en" w:bidi="en-US"/>
        </w:rPr>
      </w:pPr>
      <w:r w:rsidRPr="00345384">
        <w:rPr>
          <w:rFonts w:ascii="Cambria" w:hAnsi="Cambria"/>
          <w:sz w:val="21"/>
          <w:szCs w:val="21"/>
        </w:rPr>
        <w:br w:type="page"/>
      </w:r>
    </w:p>
    <w:p w14:paraId="5F6E54C5" w14:textId="1AAB0443" w:rsidR="008A619A" w:rsidRPr="00345384" w:rsidRDefault="00792CAE" w:rsidP="003722F6">
      <w:pPr>
        <w:pStyle w:val="Heading2"/>
      </w:pPr>
      <w:r w:rsidRPr="00345384">
        <w:lastRenderedPageBreak/>
        <w:t xml:space="preserve">ADMISSION TO THE </w:t>
      </w:r>
      <w:r w:rsidR="00BE472D" w:rsidRPr="00345384">
        <w:t>HEALTH</w:t>
      </w:r>
      <w:r w:rsidR="006013D1" w:rsidRPr="00345384">
        <w:t xml:space="preserve">CARE ADMINISTRATION </w:t>
      </w:r>
      <w:r w:rsidRPr="00345384">
        <w:t xml:space="preserve">PROGRAM: </w:t>
      </w:r>
    </w:p>
    <w:p w14:paraId="043D87FE" w14:textId="22964D39" w:rsidR="006013D1" w:rsidRPr="00345384" w:rsidRDefault="007F2430" w:rsidP="006013D1">
      <w:pPr>
        <w:rPr>
          <w:rFonts w:ascii="Cambria" w:hAnsi="Cambria"/>
          <w:sz w:val="21"/>
          <w:szCs w:val="21"/>
          <w:lang w:val="en"/>
        </w:rPr>
      </w:pPr>
      <w:r>
        <w:rPr>
          <w:rFonts w:ascii="Cambria" w:hAnsi="Cambria"/>
          <w:sz w:val="21"/>
          <w:szCs w:val="21"/>
          <w:lang w:val="en"/>
        </w:rPr>
        <w:br/>
      </w:r>
      <w:r w:rsidR="006013D1" w:rsidRPr="00345384">
        <w:rPr>
          <w:rFonts w:ascii="Cambria" w:hAnsi="Cambria"/>
          <w:sz w:val="21"/>
          <w:szCs w:val="21"/>
          <w:lang w:val="en"/>
        </w:rPr>
        <w:t xml:space="preserve">In </w:t>
      </w:r>
      <w:r w:rsidR="006013D1" w:rsidRPr="00345384">
        <w:rPr>
          <w:rFonts w:ascii="Cambria" w:hAnsi="Cambria"/>
          <w:sz w:val="21"/>
          <w:szCs w:val="21"/>
        </w:rPr>
        <w:t>addition to the courses listed on page one, students must complete HA 3308 (to be taken at Texas State) and 11 hours of electives prior to admission to the HA program.</w:t>
      </w:r>
    </w:p>
    <w:p w14:paraId="1A66ACAE" w14:textId="77777777" w:rsidR="00B9679B" w:rsidRPr="00345384" w:rsidRDefault="00374C88" w:rsidP="00B9679B">
      <w:pPr>
        <w:pStyle w:val="ListParagraph"/>
        <w:numPr>
          <w:ilvl w:val="0"/>
          <w:numId w:val="11"/>
        </w:numPr>
        <w:rPr>
          <w:sz w:val="21"/>
          <w:szCs w:val="21"/>
          <w:lang w:val="en"/>
        </w:rPr>
      </w:pPr>
      <w:r w:rsidRPr="00345384">
        <w:rPr>
          <w:sz w:val="21"/>
          <w:szCs w:val="21"/>
          <w:lang w:val="en"/>
        </w:rPr>
        <w:t xml:space="preserve">The Bachelor of </w:t>
      </w:r>
      <w:r w:rsidR="00B9679B" w:rsidRPr="00345384">
        <w:rPr>
          <w:sz w:val="21"/>
          <w:szCs w:val="21"/>
          <w:lang w:val="en"/>
        </w:rPr>
        <w:t>Healthcare Administration (B.H.A.) degree with a major in Healthcare Administration requires admission to the university and admission to the program.</w:t>
      </w:r>
    </w:p>
    <w:p w14:paraId="730907FB" w14:textId="5716A28C" w:rsidR="00B9679B" w:rsidRPr="00345384" w:rsidRDefault="00B9679B" w:rsidP="00B9679B">
      <w:pPr>
        <w:pStyle w:val="ListParagraph"/>
        <w:numPr>
          <w:ilvl w:val="0"/>
          <w:numId w:val="11"/>
        </w:numPr>
        <w:rPr>
          <w:sz w:val="21"/>
          <w:szCs w:val="21"/>
          <w:lang w:val="en"/>
        </w:rPr>
      </w:pPr>
      <w:r w:rsidRPr="00345384">
        <w:rPr>
          <w:sz w:val="21"/>
          <w:szCs w:val="21"/>
          <w:lang w:val="en"/>
        </w:rPr>
        <w:t>Any student in Texas State may declare Pre-Healthcare Administration as the major. To declare Pre-Healthcare Administration as a major, contact the School Administrative Assistant and schedule an appointment with the B.H.A. Director.</w:t>
      </w:r>
    </w:p>
    <w:p w14:paraId="4E8AA022" w14:textId="77777777" w:rsidR="00B9679B" w:rsidRPr="00345384" w:rsidRDefault="00B9679B" w:rsidP="00B9679B">
      <w:pPr>
        <w:numPr>
          <w:ilvl w:val="0"/>
          <w:numId w:val="11"/>
        </w:numPr>
        <w:spacing w:after="0" w:line="240" w:lineRule="auto"/>
        <w:rPr>
          <w:rFonts w:ascii="Cambria" w:hAnsi="Cambria"/>
          <w:sz w:val="21"/>
          <w:szCs w:val="21"/>
          <w:lang w:val="en"/>
        </w:rPr>
      </w:pPr>
      <w:r w:rsidRPr="00345384">
        <w:rPr>
          <w:rFonts w:ascii="Cambria" w:hAnsi="Cambria"/>
          <w:sz w:val="21"/>
          <w:szCs w:val="21"/>
          <w:lang w:val="en"/>
        </w:rPr>
        <w:t>Admission to the Healthcare Administration program is competitive with a limited number of applicants accepted to each class. In addition to the minimum criteria for program consideration, applicants to the B.H.A. program are required to have an interview with the B.H.A. Program Director.</w:t>
      </w:r>
    </w:p>
    <w:p w14:paraId="5890D59D" w14:textId="77777777" w:rsidR="00B9679B" w:rsidRPr="00345384" w:rsidRDefault="00BE472D" w:rsidP="00B9679B">
      <w:pPr>
        <w:numPr>
          <w:ilvl w:val="0"/>
          <w:numId w:val="11"/>
        </w:numPr>
        <w:spacing w:after="0" w:line="240" w:lineRule="auto"/>
        <w:rPr>
          <w:rFonts w:ascii="Cambria" w:hAnsi="Cambria"/>
          <w:sz w:val="21"/>
          <w:szCs w:val="21"/>
          <w:lang w:val="en"/>
        </w:rPr>
      </w:pPr>
      <w:r w:rsidRPr="00345384">
        <w:rPr>
          <w:rFonts w:ascii="Cambria" w:hAnsi="Cambria"/>
          <w:sz w:val="21"/>
          <w:szCs w:val="21"/>
          <w:lang w:val="en"/>
        </w:rPr>
        <w:t xml:space="preserve">A </w:t>
      </w:r>
      <w:r w:rsidR="00B9679B" w:rsidRPr="00345384">
        <w:rPr>
          <w:rFonts w:ascii="Cambria" w:hAnsi="Cambria"/>
          <w:sz w:val="21"/>
          <w:szCs w:val="21"/>
          <w:lang w:val="en"/>
        </w:rPr>
        <w:t>Texas State GPA of 2.75 or higher is required for application for admission.</w:t>
      </w:r>
    </w:p>
    <w:p w14:paraId="549203E7" w14:textId="4A529B73" w:rsidR="00B9679B" w:rsidRPr="00345384" w:rsidRDefault="00BF4BCD" w:rsidP="00B9679B">
      <w:pPr>
        <w:numPr>
          <w:ilvl w:val="0"/>
          <w:numId w:val="11"/>
        </w:numPr>
        <w:spacing w:after="0" w:line="240" w:lineRule="auto"/>
        <w:rPr>
          <w:rFonts w:ascii="Cambria" w:hAnsi="Cambria"/>
          <w:sz w:val="21"/>
          <w:szCs w:val="21"/>
          <w:lang w:val="en"/>
        </w:rPr>
      </w:pPr>
      <w:r w:rsidRPr="00345384">
        <w:rPr>
          <w:rFonts w:ascii="Cambria" w:hAnsi="Cambria"/>
          <w:sz w:val="21"/>
          <w:szCs w:val="21"/>
          <w:lang w:val="en"/>
        </w:rPr>
        <w:t>S</w:t>
      </w:r>
      <w:r w:rsidR="00B9679B" w:rsidRPr="00345384">
        <w:rPr>
          <w:rFonts w:ascii="Cambria" w:hAnsi="Cambria"/>
          <w:sz w:val="21"/>
          <w:szCs w:val="21"/>
          <w:lang w:val="en"/>
        </w:rPr>
        <w:t>uccessful completion of </w:t>
      </w:r>
      <w:r w:rsidR="00B9679B" w:rsidRPr="00345384">
        <w:rPr>
          <w:rStyle w:val="Emphasis"/>
          <w:rFonts w:ascii="Cambria" w:hAnsi="Cambria"/>
          <w:sz w:val="21"/>
          <w:szCs w:val="21"/>
          <w:lang w:val="en"/>
        </w:rPr>
        <w:t>all </w:t>
      </w:r>
      <w:r w:rsidR="00B9679B" w:rsidRPr="00345384">
        <w:rPr>
          <w:rFonts w:ascii="Cambria" w:hAnsi="Cambria"/>
          <w:sz w:val="21"/>
          <w:szCs w:val="21"/>
          <w:lang w:val="en"/>
        </w:rPr>
        <w:t>general education core curriculum and support courses with a “C” or better in the following courses:</w:t>
      </w:r>
      <w:r w:rsidR="00B9679B" w:rsidRPr="00345384">
        <w:rPr>
          <w:rFonts w:ascii="Cambria" w:eastAsia="Times New Roman" w:hAnsi="Cambria" w:cs="Times New Roman"/>
          <w:sz w:val="21"/>
          <w:szCs w:val="21"/>
          <w:lang w:val="en"/>
        </w:rPr>
        <w:t xml:space="preserve"> </w:t>
      </w:r>
    </w:p>
    <w:p w14:paraId="5D882B0E" w14:textId="441E2C30" w:rsidR="00025FD1" w:rsidRPr="00345384" w:rsidRDefault="0044372F" w:rsidP="00B9679B">
      <w:pPr>
        <w:numPr>
          <w:ilvl w:val="1"/>
          <w:numId w:val="11"/>
        </w:numPr>
        <w:spacing w:after="0" w:line="240" w:lineRule="auto"/>
        <w:rPr>
          <w:rFonts w:ascii="Cambria" w:hAnsi="Cambria"/>
          <w:sz w:val="21"/>
          <w:szCs w:val="21"/>
          <w:lang w:val="en"/>
        </w:rPr>
      </w:pPr>
      <w:r w:rsidRPr="00345384">
        <w:rPr>
          <w:rFonts w:ascii="Cambria" w:eastAsia="Times New Roman" w:hAnsi="Cambria" w:cs="Times New Roman"/>
          <w:sz w:val="21"/>
          <w:szCs w:val="21"/>
          <w:lang w:val="en"/>
        </w:rPr>
        <w:t>Course List (Texas State numbers—See previous page for TCCN equivalencies)</w:t>
      </w:r>
      <w:r w:rsidR="00F009CD" w:rsidRPr="00345384">
        <w:rPr>
          <w:rFonts w:ascii="Cambria" w:hAnsi="Cambria"/>
          <w:sz w:val="21"/>
          <w:szCs w:val="21"/>
          <w:lang w:val="en"/>
        </w:rPr>
        <w:t xml:space="preserve"> </w:t>
      </w:r>
    </w:p>
    <w:p w14:paraId="24FCB5E9" w14:textId="3F5BD861" w:rsidR="00025FD1" w:rsidRPr="00345384" w:rsidRDefault="00B9679B" w:rsidP="00025FD1">
      <w:pPr>
        <w:pStyle w:val="ListParagraph"/>
        <w:numPr>
          <w:ilvl w:val="2"/>
          <w:numId w:val="12"/>
        </w:numPr>
        <w:rPr>
          <w:sz w:val="21"/>
          <w:szCs w:val="21"/>
          <w:lang w:val="en"/>
        </w:rPr>
      </w:pPr>
      <w:r w:rsidRPr="00345384">
        <w:rPr>
          <w:sz w:val="21"/>
          <w:szCs w:val="21"/>
          <w:lang w:val="en"/>
        </w:rPr>
        <w:t>MATH 1315</w:t>
      </w:r>
    </w:p>
    <w:p w14:paraId="107D58AE" w14:textId="01A8393A" w:rsidR="00BF4BCD" w:rsidRPr="00345384" w:rsidRDefault="00B9679B" w:rsidP="00025FD1">
      <w:pPr>
        <w:pStyle w:val="ListParagraph"/>
        <w:numPr>
          <w:ilvl w:val="2"/>
          <w:numId w:val="12"/>
        </w:numPr>
        <w:rPr>
          <w:sz w:val="21"/>
          <w:szCs w:val="21"/>
          <w:lang w:val="en"/>
        </w:rPr>
      </w:pPr>
      <w:r w:rsidRPr="00345384">
        <w:rPr>
          <w:sz w:val="21"/>
          <w:szCs w:val="21"/>
          <w:lang w:val="en"/>
        </w:rPr>
        <w:t>ECO 2301 or 2314</w:t>
      </w:r>
    </w:p>
    <w:p w14:paraId="4A038416" w14:textId="4C81097A" w:rsidR="00BE472D" w:rsidRPr="00345384" w:rsidRDefault="00BE472D" w:rsidP="00B9679B">
      <w:pPr>
        <w:pStyle w:val="ListParagraph"/>
        <w:numPr>
          <w:ilvl w:val="2"/>
          <w:numId w:val="12"/>
        </w:numPr>
        <w:rPr>
          <w:sz w:val="21"/>
          <w:szCs w:val="21"/>
          <w:lang w:val="en"/>
        </w:rPr>
      </w:pPr>
      <w:r w:rsidRPr="00345384">
        <w:rPr>
          <w:sz w:val="21"/>
          <w:szCs w:val="21"/>
          <w:lang w:val="en"/>
        </w:rPr>
        <w:t>HP 33</w:t>
      </w:r>
      <w:r w:rsidR="00B9679B" w:rsidRPr="00345384">
        <w:rPr>
          <w:sz w:val="21"/>
          <w:szCs w:val="21"/>
          <w:lang w:val="en"/>
        </w:rPr>
        <w:t>25</w:t>
      </w:r>
    </w:p>
    <w:p w14:paraId="0D5559AD" w14:textId="19881E81" w:rsidR="00B9679B" w:rsidRPr="00345384" w:rsidRDefault="00B9679B" w:rsidP="00B9679B">
      <w:pPr>
        <w:pStyle w:val="ListParagraph"/>
        <w:numPr>
          <w:ilvl w:val="2"/>
          <w:numId w:val="12"/>
        </w:numPr>
        <w:rPr>
          <w:sz w:val="21"/>
          <w:szCs w:val="21"/>
          <w:lang w:val="en"/>
        </w:rPr>
      </w:pPr>
      <w:r w:rsidRPr="00345384">
        <w:rPr>
          <w:sz w:val="21"/>
          <w:szCs w:val="21"/>
          <w:lang w:val="en"/>
        </w:rPr>
        <w:t>HP 3308</w:t>
      </w:r>
    </w:p>
    <w:p w14:paraId="20C5D348" w14:textId="1D5417A5" w:rsidR="00345384" w:rsidRPr="00345384" w:rsidRDefault="00B9679B" w:rsidP="00345384">
      <w:pPr>
        <w:pStyle w:val="ListParagraph"/>
        <w:numPr>
          <w:ilvl w:val="0"/>
          <w:numId w:val="11"/>
        </w:numPr>
        <w:rPr>
          <w:sz w:val="21"/>
          <w:szCs w:val="21"/>
          <w:lang w:val="en"/>
        </w:rPr>
      </w:pPr>
      <w:r w:rsidRPr="00345384">
        <w:rPr>
          <w:sz w:val="21"/>
          <w:szCs w:val="21"/>
          <w:lang w:val="en"/>
        </w:rPr>
        <w:t xml:space="preserve">Completion of </w:t>
      </w:r>
      <w:r w:rsidR="007F2430">
        <w:rPr>
          <w:sz w:val="21"/>
          <w:szCs w:val="21"/>
          <w:lang w:val="en"/>
        </w:rPr>
        <w:t>a writing exam administered by the School of Health Administration. Exam details will be given at the beginning of each application period.</w:t>
      </w:r>
    </w:p>
    <w:p w14:paraId="212B21F6" w14:textId="6A8FFB1A" w:rsidR="00345384" w:rsidRPr="00345384" w:rsidRDefault="00345384" w:rsidP="00345384">
      <w:pPr>
        <w:pStyle w:val="ListParagraph"/>
        <w:numPr>
          <w:ilvl w:val="0"/>
          <w:numId w:val="11"/>
        </w:numPr>
        <w:rPr>
          <w:sz w:val="21"/>
          <w:szCs w:val="21"/>
          <w:lang w:val="en"/>
        </w:rPr>
      </w:pPr>
      <w:r w:rsidRPr="00345384">
        <w:rPr>
          <w:sz w:val="21"/>
          <w:szCs w:val="21"/>
          <w:lang w:val="en"/>
        </w:rPr>
        <w:t>Completion</w:t>
      </w:r>
      <w:r w:rsidR="00025FD1" w:rsidRPr="00345384">
        <w:rPr>
          <w:sz w:val="21"/>
          <w:szCs w:val="21"/>
          <w:lang w:val="en"/>
        </w:rPr>
        <w:t xml:space="preserve"> </w:t>
      </w:r>
      <w:r w:rsidRPr="00345384">
        <w:rPr>
          <w:sz w:val="21"/>
          <w:szCs w:val="21"/>
          <w:lang w:val="en"/>
        </w:rPr>
        <w:t>of the application does not guarantee acceptance to the B.H.A. program. You must complete prerequisites and meet the above requirements for program acceptance. If accepted and you fail to complete prerequisites, your enrollment in HA classes will be delayed until prerequisites are completed.</w:t>
      </w:r>
    </w:p>
    <w:p w14:paraId="680943DB" w14:textId="7B8D8C30" w:rsidR="00F009CD" w:rsidRPr="00345384" w:rsidRDefault="00345384" w:rsidP="00BE472D">
      <w:pPr>
        <w:pStyle w:val="ListParagraph"/>
        <w:numPr>
          <w:ilvl w:val="0"/>
          <w:numId w:val="11"/>
        </w:numPr>
        <w:rPr>
          <w:sz w:val="21"/>
          <w:szCs w:val="21"/>
          <w:lang w:val="en"/>
        </w:rPr>
      </w:pPr>
      <w:r w:rsidRPr="00345384">
        <w:rPr>
          <w:sz w:val="21"/>
          <w:szCs w:val="21"/>
          <w:lang w:val="en"/>
        </w:rPr>
        <w:t>The application packet to the B.H.A. program should be submitted by the posted deadline and include:  B.H.A. Application (</w:t>
      </w:r>
      <w:hyperlink r:id="rId9" w:history="1">
        <w:r w:rsidRPr="00345384">
          <w:rPr>
            <w:rStyle w:val="Hyperlink"/>
            <w:sz w:val="21"/>
            <w:szCs w:val="21"/>
            <w:lang w:val="en"/>
          </w:rPr>
          <w:t>Click here</w:t>
        </w:r>
      </w:hyperlink>
      <w:r w:rsidRPr="00345384">
        <w:rPr>
          <w:sz w:val="21"/>
          <w:szCs w:val="21"/>
          <w:lang w:val="en"/>
        </w:rPr>
        <w:t>), Interview Sheet signed by the B.H.A. Program Director (See below) Interview with the B.H.A. Program Director -- signature required on the application; Copy of current schedule (Texas State and other college or university); Statement of Purpose; Passing score on PUG must be on file by application deadline.</w:t>
      </w:r>
    </w:p>
    <w:p w14:paraId="6D45800A" w14:textId="2C53836F" w:rsidR="00BE472D" w:rsidRPr="00345384" w:rsidRDefault="00345384" w:rsidP="00BE472D">
      <w:pPr>
        <w:numPr>
          <w:ilvl w:val="0"/>
          <w:numId w:val="11"/>
        </w:numPr>
        <w:spacing w:after="0" w:line="240" w:lineRule="auto"/>
        <w:rPr>
          <w:rFonts w:ascii="Cambria" w:eastAsia="Times New Roman" w:hAnsi="Cambria" w:cs="Times New Roman"/>
          <w:sz w:val="21"/>
          <w:szCs w:val="21"/>
          <w:lang w:val="en"/>
        </w:rPr>
      </w:pPr>
      <w:r w:rsidRPr="00345384">
        <w:rPr>
          <w:rFonts w:ascii="Cambria" w:hAnsi="Cambria"/>
          <w:sz w:val="21"/>
          <w:szCs w:val="21"/>
          <w:lang w:val="en"/>
        </w:rPr>
        <w:t>The Statement of Purpose is a short essay that explains why you wish to be admitted to this program. It provides information about your interest in the health administration profession. The essay should be no longer than one single-spaced page. Be sure to check your essay’s grammar, spelling, and punctuation.</w:t>
      </w:r>
      <w:r w:rsidRPr="00345384">
        <w:rPr>
          <w:rFonts w:ascii="Cambria" w:eastAsia="Times New Roman" w:hAnsi="Cambria" w:cs="Times New Roman"/>
          <w:sz w:val="21"/>
          <w:szCs w:val="21"/>
          <w:lang w:val="en"/>
        </w:rPr>
        <w:t xml:space="preserve"> </w:t>
      </w:r>
      <w:r w:rsidR="00BE472D" w:rsidRPr="00345384">
        <w:rPr>
          <w:rFonts w:ascii="Cambria" w:eastAsia="Times New Roman" w:hAnsi="Cambria" w:cs="Times New Roman"/>
          <w:sz w:val="21"/>
          <w:szCs w:val="21"/>
          <w:lang w:val="en"/>
        </w:rPr>
        <w:t>Students will be required to interview with the H.I.M. Program Admissions Committee.</w:t>
      </w:r>
    </w:p>
    <w:p w14:paraId="7D0FC7A1" w14:textId="77777777" w:rsidR="00345384" w:rsidRPr="00345384" w:rsidRDefault="00345384" w:rsidP="00345384">
      <w:pPr>
        <w:numPr>
          <w:ilvl w:val="0"/>
          <w:numId w:val="11"/>
        </w:numPr>
        <w:spacing w:after="0" w:line="240" w:lineRule="auto"/>
        <w:rPr>
          <w:rFonts w:ascii="Cambria" w:hAnsi="Cambria"/>
          <w:sz w:val="21"/>
          <w:szCs w:val="21"/>
          <w:lang w:val="en"/>
        </w:rPr>
      </w:pPr>
      <w:r w:rsidRPr="00345384">
        <w:rPr>
          <w:rFonts w:ascii="Cambria" w:hAnsi="Cambria"/>
          <w:sz w:val="21"/>
          <w:szCs w:val="21"/>
          <w:lang w:val="en"/>
        </w:rPr>
        <w:t>The application packet is due: (if the 1st falls on a weekend or holiday, application is due by NOON next working day) Application Deadline for spring - October 1 and the Application Deadline for fall - March 1</w:t>
      </w:r>
    </w:p>
    <w:p w14:paraId="5CDA4CF8" w14:textId="05ADF154" w:rsidR="00345384" w:rsidRPr="00345384" w:rsidRDefault="00345384" w:rsidP="00345384">
      <w:pPr>
        <w:numPr>
          <w:ilvl w:val="0"/>
          <w:numId w:val="11"/>
        </w:numPr>
        <w:spacing w:after="0" w:line="240" w:lineRule="auto"/>
        <w:rPr>
          <w:rFonts w:ascii="Cambria" w:hAnsi="Cambria"/>
          <w:sz w:val="21"/>
          <w:szCs w:val="21"/>
          <w:lang w:val="en"/>
        </w:rPr>
      </w:pPr>
      <w:r w:rsidRPr="00345384">
        <w:rPr>
          <w:rFonts w:ascii="Cambria" w:hAnsi="Cambria"/>
          <w:sz w:val="21"/>
          <w:szCs w:val="21"/>
          <w:lang w:val="en"/>
        </w:rPr>
        <w:t>Applications are to be turned in to the Health Admission Office.</w:t>
      </w:r>
    </w:p>
    <w:p w14:paraId="769381E4" w14:textId="77777777" w:rsidR="00345384" w:rsidRPr="00345384" w:rsidRDefault="00345384" w:rsidP="00345384">
      <w:pPr>
        <w:numPr>
          <w:ilvl w:val="0"/>
          <w:numId w:val="11"/>
        </w:numPr>
        <w:spacing w:after="0" w:line="240" w:lineRule="auto"/>
        <w:rPr>
          <w:rFonts w:ascii="Cambria" w:hAnsi="Cambria"/>
          <w:sz w:val="21"/>
          <w:szCs w:val="21"/>
          <w:lang w:val="en"/>
        </w:rPr>
      </w:pPr>
      <w:r w:rsidRPr="00345384">
        <w:rPr>
          <w:rFonts w:ascii="Cambria" w:hAnsi="Cambria"/>
          <w:sz w:val="21"/>
          <w:szCs w:val="21"/>
          <w:lang w:val="en"/>
        </w:rPr>
        <w:t xml:space="preserve">All students are required to complete a residency for the B.H.A. The Joint Commission requires accredited healthcare facilities to complete criminal background checks on all employees. Therefore, a background check is required during your 3rd semester (enrollment in </w:t>
      </w:r>
      <w:hyperlink r:id="rId10" w:tooltip="HA 4141" w:history="1">
        <w:r w:rsidRPr="00345384">
          <w:rPr>
            <w:rStyle w:val="Hyperlink"/>
            <w:rFonts w:ascii="Cambria" w:hAnsi="Cambria"/>
            <w:sz w:val="21"/>
            <w:szCs w:val="21"/>
            <w:lang w:val="en"/>
          </w:rPr>
          <w:t>HA 4141</w:t>
        </w:r>
      </w:hyperlink>
      <w:r w:rsidRPr="00345384">
        <w:rPr>
          <w:rFonts w:ascii="Cambria" w:hAnsi="Cambria"/>
          <w:sz w:val="21"/>
          <w:szCs w:val="21"/>
          <w:lang w:val="en"/>
        </w:rPr>
        <w:t>) prior to the residency semester. If there is any reason that could prevent your placement at a facility, you will be asked to meet with the B.H.A. Program Director and/or the Field Placement Coordinator to determine if you will be able to complete the residency requirement. Issues with the background check could impact residency placement and ability for employment in the healthcare industry.</w:t>
      </w:r>
    </w:p>
    <w:p w14:paraId="48A33BD4" w14:textId="20716367" w:rsidR="00025FD1" w:rsidRPr="00345384" w:rsidRDefault="00345384" w:rsidP="00345384">
      <w:pPr>
        <w:numPr>
          <w:ilvl w:val="0"/>
          <w:numId w:val="11"/>
        </w:numPr>
        <w:spacing w:after="0" w:line="240" w:lineRule="auto"/>
        <w:rPr>
          <w:rFonts w:ascii="Cambria" w:hAnsi="Cambria"/>
          <w:sz w:val="21"/>
          <w:szCs w:val="21"/>
          <w:lang w:val="en"/>
        </w:rPr>
      </w:pPr>
      <w:r w:rsidRPr="00345384">
        <w:rPr>
          <w:rFonts w:ascii="Cambria" w:hAnsi="Cambria"/>
          <w:sz w:val="21"/>
          <w:szCs w:val="21"/>
          <w:lang w:val="en"/>
        </w:rPr>
        <w:t>All students are required to have attained a grade of "C" or higher in each HA course. Students are required to take HA courses in a prescribed sequence. All 3000-level courses must be completed before enrolling in any 4000-level courses. All 4000-level courses must be completed before enrolling in field placement.</w:t>
      </w:r>
    </w:p>
    <w:p w14:paraId="4A86AB52" w14:textId="77777777" w:rsidR="00345384" w:rsidRPr="00345384" w:rsidRDefault="00345384" w:rsidP="00345384">
      <w:pPr>
        <w:pStyle w:val="basic-paragraphtext-w-indent"/>
        <w:numPr>
          <w:ilvl w:val="0"/>
          <w:numId w:val="11"/>
        </w:numPr>
        <w:spacing w:before="0" w:beforeAutospacing="0" w:after="0" w:afterAutospacing="0"/>
        <w:rPr>
          <w:rFonts w:ascii="Cambria" w:hAnsi="Cambria"/>
          <w:sz w:val="21"/>
          <w:szCs w:val="21"/>
          <w:lang w:val="en"/>
        </w:rPr>
      </w:pPr>
      <w:r w:rsidRPr="00345384">
        <w:rPr>
          <w:rFonts w:ascii="Cambria" w:hAnsi="Cambria"/>
          <w:sz w:val="21"/>
          <w:szCs w:val="21"/>
          <w:lang w:val="en"/>
        </w:rPr>
        <w:t>Students are allowed to repeat each HA course once, and only once, to improve their grade. In the event that B.H.A. majors do not make a “C” or better when repeating a course, they will be suspended from the major. B.H.A. majors suspended from the B.H.A. program have a right of appeal and should contact the B.H.A. Director.</w:t>
      </w:r>
    </w:p>
    <w:p w14:paraId="38FF39D0" w14:textId="3F74E8E7" w:rsidR="00345384" w:rsidRPr="00345384" w:rsidRDefault="00345384" w:rsidP="00345384">
      <w:pPr>
        <w:numPr>
          <w:ilvl w:val="0"/>
          <w:numId w:val="11"/>
        </w:numPr>
        <w:spacing w:after="0" w:line="240" w:lineRule="auto"/>
        <w:rPr>
          <w:rFonts w:ascii="Cambria" w:hAnsi="Cambria"/>
          <w:sz w:val="21"/>
          <w:szCs w:val="21"/>
          <w:lang w:val="en"/>
        </w:rPr>
      </w:pPr>
      <w:r w:rsidRPr="00345384">
        <w:rPr>
          <w:rFonts w:ascii="Cambria" w:hAnsi="Cambria"/>
          <w:sz w:val="21"/>
          <w:szCs w:val="21"/>
          <w:lang w:val="en"/>
        </w:rPr>
        <w:t>All students are required to pass an EXIT exam administered in HA 4141 before enrolling in field placement.</w:t>
      </w:r>
    </w:p>
    <w:p w14:paraId="4DAA8299" w14:textId="77777777" w:rsidR="007F2430" w:rsidRDefault="007F2430">
      <w:pPr>
        <w:rPr>
          <w:rFonts w:ascii="Cambria" w:eastAsia="Cambria" w:hAnsi="Cambria" w:cs="Cambria"/>
          <w:sz w:val="21"/>
          <w:szCs w:val="21"/>
          <w:lang w:val="en" w:bidi="en-US"/>
        </w:rPr>
      </w:pPr>
      <w:r>
        <w:br w:type="page"/>
      </w:r>
    </w:p>
    <w:p w14:paraId="78138C59" w14:textId="3323F039" w:rsidR="002F239C" w:rsidRPr="00345384" w:rsidRDefault="002F239C" w:rsidP="002F239C">
      <w:pPr>
        <w:pStyle w:val="Heading2"/>
      </w:pPr>
      <w:r w:rsidRPr="00345384">
        <w:lastRenderedPageBreak/>
        <w:t>IMMUNIZATION REQUIREMENTS</w:t>
      </w:r>
      <w:r w:rsidR="007F2430">
        <w:t>:</w:t>
      </w:r>
    </w:p>
    <w:p w14:paraId="2FC01F5C" w14:textId="77777777" w:rsidR="007F2430" w:rsidRDefault="007F2430" w:rsidP="002F239C">
      <w:pPr>
        <w:pStyle w:val="BodyText"/>
        <w:rPr>
          <w:lang w:val="en"/>
        </w:rPr>
      </w:pPr>
    </w:p>
    <w:p w14:paraId="62DDD7D5" w14:textId="7B1D57D9" w:rsidR="008A619A" w:rsidRPr="00345384" w:rsidRDefault="008A619A" w:rsidP="002F239C">
      <w:pPr>
        <w:pStyle w:val="BodyText"/>
        <w:rPr>
          <w:lang w:val="en"/>
        </w:rPr>
      </w:pPr>
      <w:r w:rsidRPr="00345384">
        <w:rPr>
          <w:lang w:val="en"/>
        </w:rPr>
        <w:t xml:space="preserve">It is a policy of the College of Health Professions </w:t>
      </w:r>
      <w:r w:rsidR="00345384" w:rsidRPr="00345384">
        <w:rPr>
          <w:lang w:val="en"/>
        </w:rPr>
        <w:t xml:space="preserve">that each student must provide a Health Report completed by a physician or licensed healthcare </w:t>
      </w:r>
      <w:proofErr w:type="gramStart"/>
      <w:r w:rsidR="00345384" w:rsidRPr="00345384">
        <w:rPr>
          <w:lang w:val="en"/>
        </w:rPr>
        <w:t>provider, and</w:t>
      </w:r>
      <w:proofErr w:type="gramEnd"/>
      <w:r w:rsidR="00345384" w:rsidRPr="00345384">
        <w:rPr>
          <w:lang w:val="en"/>
        </w:rPr>
        <w:t xml:space="preserve"> must take certain immunizations before the student can be placed in a clinical or residency assignment. Information on these requirements and forms to be supplied may be obtained through the school office.</w:t>
      </w:r>
    </w:p>
    <w:p w14:paraId="7AE2CCFC" w14:textId="77777777" w:rsidR="002F239C" w:rsidRPr="00345384" w:rsidRDefault="002F239C" w:rsidP="002F239C">
      <w:pPr>
        <w:pStyle w:val="BodyText"/>
        <w:rPr>
          <w:lang w:val="en"/>
        </w:rPr>
      </w:pPr>
    </w:p>
    <w:p w14:paraId="0675B38E" w14:textId="04C388C9" w:rsidR="002F239C" w:rsidRPr="00345384" w:rsidRDefault="002F239C" w:rsidP="002F239C">
      <w:pPr>
        <w:pStyle w:val="Heading2"/>
      </w:pPr>
      <w:r w:rsidRPr="00345384">
        <w:t>GRADUATION WITH HONORS</w:t>
      </w:r>
      <w:r w:rsidR="007F2430">
        <w:t>:</w:t>
      </w:r>
    </w:p>
    <w:p w14:paraId="5E975FAA" w14:textId="77777777" w:rsidR="007F2430" w:rsidRDefault="007F2430" w:rsidP="00345384">
      <w:pPr>
        <w:pStyle w:val="BodyText"/>
        <w:rPr>
          <w:lang w:val="en"/>
        </w:rPr>
      </w:pPr>
    </w:p>
    <w:p w14:paraId="02D7B9F4" w14:textId="787FEC41" w:rsidR="00345384" w:rsidRPr="00345384" w:rsidRDefault="002B6969" w:rsidP="00345384">
      <w:pPr>
        <w:pStyle w:val="BodyText"/>
        <w:rPr>
          <w:lang w:val="en"/>
        </w:rPr>
      </w:pPr>
      <w:r w:rsidRPr="00345384">
        <w:rPr>
          <w:lang w:val="en"/>
        </w:rPr>
        <w:t xml:space="preserve">Students </w:t>
      </w:r>
      <w:r w:rsidR="00345384" w:rsidRPr="00345384">
        <w:rPr>
          <w:lang w:val="en"/>
        </w:rPr>
        <w:t xml:space="preserve">earning a GPA of 3.40-3.59 will graduate </w:t>
      </w:r>
      <w:r w:rsidR="00345384" w:rsidRPr="00345384">
        <w:rPr>
          <w:rStyle w:val="Emphasis"/>
          <w:lang w:val="en"/>
        </w:rPr>
        <w:t>cum laude</w:t>
      </w:r>
      <w:r w:rsidR="00345384" w:rsidRPr="00345384">
        <w:rPr>
          <w:lang w:val="en"/>
        </w:rPr>
        <w:t xml:space="preserve">; 3.6-3.79 will graduate </w:t>
      </w:r>
      <w:r w:rsidR="00345384" w:rsidRPr="00345384">
        <w:rPr>
          <w:rStyle w:val="Emphasis"/>
          <w:lang w:val="en"/>
        </w:rPr>
        <w:t>magna cum laude</w:t>
      </w:r>
      <w:r w:rsidR="00345384" w:rsidRPr="00345384">
        <w:rPr>
          <w:lang w:val="en"/>
        </w:rPr>
        <w:t xml:space="preserve">; 3.8-4.0 will graduate </w:t>
      </w:r>
      <w:r w:rsidR="00345384" w:rsidRPr="00345384">
        <w:rPr>
          <w:rStyle w:val="Emphasis"/>
          <w:lang w:val="en"/>
        </w:rPr>
        <w:t>summa cum laude</w:t>
      </w:r>
      <w:r w:rsidR="00345384" w:rsidRPr="00345384">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29058016" w14:textId="77777777" w:rsidR="00345384" w:rsidRPr="00345384" w:rsidRDefault="00345384" w:rsidP="00345384">
      <w:pPr>
        <w:pStyle w:val="BodyText"/>
        <w:rPr>
          <w:lang w:val="en"/>
        </w:rPr>
      </w:pPr>
    </w:p>
    <w:p w14:paraId="530F998B" w14:textId="77777777" w:rsidR="00345384" w:rsidRPr="00345384" w:rsidRDefault="00345384" w:rsidP="00345384">
      <w:pPr>
        <w:pStyle w:val="BodyText"/>
        <w:rPr>
          <w:lang w:val="en"/>
        </w:rPr>
      </w:pPr>
      <w:r w:rsidRPr="00345384">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18825A44" w14:textId="77777777" w:rsidR="00345384" w:rsidRPr="00345384" w:rsidRDefault="00345384" w:rsidP="00345384">
      <w:pPr>
        <w:pStyle w:val="BodyText"/>
        <w:rPr>
          <w:lang w:val="en"/>
        </w:rPr>
      </w:pPr>
    </w:p>
    <w:p w14:paraId="529F0EF8" w14:textId="1DC650F9" w:rsidR="00025FD1" w:rsidRPr="00345384" w:rsidRDefault="00345384" w:rsidP="00345384">
      <w:pPr>
        <w:pStyle w:val="BodyText"/>
        <w:rPr>
          <w:rFonts w:eastAsia="Times New Roman" w:cs="Times New Roman"/>
          <w:lang w:val="en" w:bidi="ar-SA"/>
        </w:rPr>
      </w:pPr>
      <w:r w:rsidRPr="00345384">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r w:rsidR="00025FD1" w:rsidRPr="00345384">
        <w:br w:type="page"/>
      </w:r>
    </w:p>
    <w:p w14:paraId="5C52341F" w14:textId="33A35280" w:rsidR="00E16D7C" w:rsidRDefault="00E16D7C" w:rsidP="003722F6">
      <w:pPr>
        <w:pStyle w:val="Heading2"/>
      </w:pPr>
      <w:r w:rsidRPr="00345384">
        <w:lastRenderedPageBreak/>
        <w:t>UNIVERSITY ADMISSION:</w:t>
      </w:r>
    </w:p>
    <w:p w14:paraId="1BA0D411" w14:textId="77777777" w:rsidR="007F2430" w:rsidRPr="00345384" w:rsidRDefault="007F2430" w:rsidP="007F2430">
      <w:pPr>
        <w:pStyle w:val="BodyText"/>
      </w:pPr>
    </w:p>
    <w:p w14:paraId="4E1F3EE0" w14:textId="77777777" w:rsidR="00025FD1" w:rsidRPr="00345384" w:rsidRDefault="00E16D7C" w:rsidP="00025FD1">
      <w:pPr>
        <w:pStyle w:val="ListParagraph"/>
        <w:numPr>
          <w:ilvl w:val="0"/>
          <w:numId w:val="15"/>
        </w:numPr>
        <w:tabs>
          <w:tab w:val="left" w:pos="817"/>
          <w:tab w:val="left" w:pos="818"/>
        </w:tabs>
        <w:rPr>
          <w:sz w:val="21"/>
          <w:szCs w:val="21"/>
        </w:rPr>
      </w:pPr>
      <w:r w:rsidRPr="00345384">
        <w:rPr>
          <w:sz w:val="21"/>
          <w:szCs w:val="21"/>
        </w:rPr>
        <w:t xml:space="preserve">Submit a completed </w:t>
      </w:r>
      <w:hyperlink r:id="rId11" w:history="1">
        <w:r w:rsidRPr="00345384">
          <w:rPr>
            <w:rStyle w:val="Hyperlink"/>
            <w:sz w:val="21"/>
            <w:szCs w:val="21"/>
          </w:rPr>
          <w:t>application</w:t>
        </w:r>
      </w:hyperlink>
      <w:r w:rsidRPr="00345384">
        <w:rPr>
          <w:sz w:val="21"/>
          <w:szCs w:val="21"/>
        </w:rPr>
        <w:t xml:space="preserve">, all supporting documents, including an official high school transcript and transcript(s) from every institution attended and application fee, to the Office of Undergraduate Admissions by the stated </w:t>
      </w:r>
      <w:hyperlink r:id="rId12">
        <w:r w:rsidRPr="00345384">
          <w:rPr>
            <w:color w:val="0000FF"/>
            <w:sz w:val="21"/>
            <w:szCs w:val="21"/>
            <w:u w:val="single"/>
          </w:rPr>
          <w:t>priority</w:t>
        </w:r>
        <w:r w:rsidRPr="00345384">
          <w:rPr>
            <w:color w:val="0000FF"/>
            <w:spacing w:val="-26"/>
            <w:sz w:val="21"/>
            <w:szCs w:val="21"/>
            <w:u w:val="single"/>
          </w:rPr>
          <w:t xml:space="preserve"> </w:t>
        </w:r>
        <w:r w:rsidRPr="00345384">
          <w:rPr>
            <w:color w:val="0000FF"/>
            <w:sz w:val="21"/>
            <w:szCs w:val="21"/>
            <w:u w:val="single"/>
          </w:rPr>
          <w:t>date</w:t>
        </w:r>
        <w:r w:rsidRPr="00345384">
          <w:rPr>
            <w:sz w:val="21"/>
            <w:szCs w:val="21"/>
          </w:rPr>
          <w:t>.</w:t>
        </w:r>
      </w:hyperlink>
    </w:p>
    <w:p w14:paraId="57B0A9D3" w14:textId="01DE7445" w:rsidR="0059611A" w:rsidRPr="00345384" w:rsidRDefault="0059611A" w:rsidP="00025FD1">
      <w:pPr>
        <w:pStyle w:val="ListParagraph"/>
        <w:numPr>
          <w:ilvl w:val="0"/>
          <w:numId w:val="15"/>
        </w:numPr>
        <w:tabs>
          <w:tab w:val="left" w:pos="817"/>
          <w:tab w:val="left" w:pos="818"/>
        </w:tabs>
        <w:rPr>
          <w:sz w:val="21"/>
          <w:szCs w:val="21"/>
        </w:rPr>
      </w:pPr>
      <w:r w:rsidRPr="00345384">
        <w:rPr>
          <w:sz w:val="21"/>
          <w:szCs w:val="21"/>
        </w:rPr>
        <w:t xml:space="preserve">Students with </w:t>
      </w:r>
      <w:r w:rsidRPr="00345384">
        <w:rPr>
          <w:b/>
          <w:sz w:val="21"/>
          <w:szCs w:val="21"/>
        </w:rPr>
        <w:t xml:space="preserve">1-15 transferable hours </w:t>
      </w:r>
      <w:r w:rsidRPr="00345384">
        <w:rPr>
          <w:sz w:val="21"/>
          <w:szCs w:val="21"/>
        </w:rPr>
        <w:t>must have a minimum 2.0 GPA in all transferable course work and meet</w:t>
      </w:r>
      <w:r w:rsidRPr="00345384">
        <w:rPr>
          <w:color w:val="0462C1"/>
          <w:sz w:val="21"/>
          <w:szCs w:val="21"/>
        </w:rPr>
        <w:t xml:space="preserve"> </w:t>
      </w:r>
      <w:hyperlink r:id="rId13">
        <w:r w:rsidRPr="00345384">
          <w:rPr>
            <w:color w:val="0462C1"/>
            <w:sz w:val="21"/>
            <w:szCs w:val="21"/>
            <w:u w:val="single" w:color="0462C1"/>
          </w:rPr>
          <w:t>freshman admission standards</w:t>
        </w:r>
        <w:r w:rsidRPr="00345384">
          <w:rPr>
            <w:sz w:val="21"/>
            <w:szCs w:val="21"/>
          </w:rPr>
          <w:t xml:space="preserve">. </w:t>
        </w:r>
      </w:hyperlink>
      <w:r w:rsidRPr="00345384">
        <w:rPr>
          <w:sz w:val="21"/>
          <w:szCs w:val="21"/>
        </w:rPr>
        <w:t xml:space="preserve">Students with </w:t>
      </w:r>
      <w:r w:rsidRPr="00345384">
        <w:rPr>
          <w:b/>
          <w:sz w:val="21"/>
          <w:szCs w:val="21"/>
        </w:rPr>
        <w:t xml:space="preserve">16-29 transferable hours </w:t>
      </w:r>
      <w:r w:rsidRPr="00345384">
        <w:rPr>
          <w:sz w:val="21"/>
          <w:szCs w:val="21"/>
        </w:rPr>
        <w:t xml:space="preserve">must have a minimum 2.5 GPA in all transferable course work. Students with </w:t>
      </w:r>
      <w:r w:rsidRPr="00345384">
        <w:rPr>
          <w:b/>
          <w:sz w:val="21"/>
          <w:szCs w:val="21"/>
        </w:rPr>
        <w:t xml:space="preserve">30 or more transferable hours </w:t>
      </w:r>
      <w:r w:rsidRPr="00345384">
        <w:rPr>
          <w:sz w:val="21"/>
          <w:szCs w:val="21"/>
        </w:rPr>
        <w:t>must have a minimum 2.25 GPA in all transferable course work. All students must be eligible to return to all previous institutions and be at least one full semester out of high</w:t>
      </w:r>
      <w:r w:rsidRPr="00345384">
        <w:rPr>
          <w:spacing w:val="-15"/>
          <w:sz w:val="21"/>
          <w:szCs w:val="21"/>
        </w:rPr>
        <w:t xml:space="preserve"> </w:t>
      </w:r>
      <w:r w:rsidRPr="00345384">
        <w:rPr>
          <w:sz w:val="21"/>
          <w:szCs w:val="21"/>
        </w:rPr>
        <w:t>school.</w:t>
      </w:r>
    </w:p>
    <w:p w14:paraId="5E1A7B94" w14:textId="77777777" w:rsidR="00E16D7C" w:rsidRPr="00345384" w:rsidRDefault="00E16D7C" w:rsidP="00E16D7C">
      <w:pPr>
        <w:pStyle w:val="BodyText"/>
        <w:ind w:left="0"/>
      </w:pPr>
    </w:p>
    <w:p w14:paraId="28E65FED" w14:textId="64B69CAF" w:rsidR="00BD3CB6" w:rsidRPr="00345384" w:rsidRDefault="00E16D7C" w:rsidP="00BC4AE8">
      <w:pPr>
        <w:pStyle w:val="BodyText"/>
        <w:ind w:left="0"/>
      </w:pPr>
      <w:r w:rsidRPr="00345384">
        <w:t xml:space="preserve">Students transferring to Texas State from a community college may elect to follow the </w:t>
      </w:r>
      <w:hyperlink r:id="rId14">
        <w:r w:rsidRPr="00345384">
          <w:rPr>
            <w:color w:val="0000FF"/>
            <w:u w:val="single"/>
          </w:rPr>
          <w:t>Texas State Undergraduate Catalog</w:t>
        </w:r>
        <w:r w:rsidRPr="00345384">
          <w:rPr>
            <w:color w:val="0000FF"/>
          </w:rPr>
          <w:t xml:space="preserve"> </w:t>
        </w:r>
      </w:hyperlink>
      <w:r w:rsidRPr="00345384">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w:t>
      </w:r>
      <w:r w:rsidRPr="00345384">
        <w:rPr>
          <w:spacing w:val="-7"/>
        </w:rPr>
        <w:t xml:space="preserve"> </w:t>
      </w:r>
      <w:r w:rsidRPr="00345384">
        <w:t>information.</w:t>
      </w:r>
      <w:bookmarkStart w:id="0" w:name="FOR_MORE_INFORMATION,_CONTACT:"/>
      <w:bookmarkEnd w:id="0"/>
    </w:p>
    <w:p w14:paraId="7788D15A" w14:textId="2A96DE12" w:rsidR="008A619A" w:rsidRPr="00345384" w:rsidRDefault="008A619A" w:rsidP="00BC4AE8">
      <w:pPr>
        <w:pStyle w:val="BodyText"/>
        <w:ind w:left="0"/>
      </w:pPr>
    </w:p>
    <w:p w14:paraId="6E45D22D" w14:textId="4A25D843" w:rsidR="00E16D7C" w:rsidRPr="00345384" w:rsidRDefault="00E16D7C" w:rsidP="003722F6">
      <w:pPr>
        <w:pStyle w:val="Heading2"/>
        <w:rPr>
          <w:b/>
          <w:bCs/>
        </w:rPr>
      </w:pPr>
      <w:r w:rsidRPr="00345384">
        <w:t>FOR MORE INFORMATION, CONTACT:</w:t>
      </w:r>
    </w:p>
    <w:p w14:paraId="675499F6" w14:textId="77777777" w:rsidR="007F2430" w:rsidRDefault="007F2430" w:rsidP="00E16D7C">
      <w:pPr>
        <w:pStyle w:val="BodyText"/>
        <w:ind w:left="0"/>
      </w:pPr>
    </w:p>
    <w:p w14:paraId="079D09FA" w14:textId="5C6344D5" w:rsidR="00E16D7C" w:rsidRPr="00345384" w:rsidRDefault="00E16D7C" w:rsidP="00E16D7C">
      <w:pPr>
        <w:pStyle w:val="BodyText"/>
        <w:ind w:left="0"/>
      </w:pPr>
      <w:r w:rsidRPr="00345384">
        <w:t xml:space="preserve">Office of Undergraduate Admissions </w:t>
      </w:r>
    </w:p>
    <w:p w14:paraId="2E947897" w14:textId="5B3CD741" w:rsidR="00E16D7C" w:rsidRPr="00345384" w:rsidRDefault="00E16D7C" w:rsidP="00E16D7C">
      <w:pPr>
        <w:pStyle w:val="BodyText"/>
        <w:ind w:left="0"/>
      </w:pPr>
      <w:r w:rsidRPr="00345384">
        <w:t>Texas State University</w:t>
      </w:r>
    </w:p>
    <w:p w14:paraId="481ACFC0" w14:textId="47A0CB3F" w:rsidR="00BD3CB6" w:rsidRPr="00345384" w:rsidRDefault="00BD3CB6" w:rsidP="00E16D7C">
      <w:pPr>
        <w:pStyle w:val="BodyText"/>
        <w:ind w:left="0"/>
      </w:pPr>
      <w:r w:rsidRPr="00345384">
        <w:rPr>
          <w:rFonts w:eastAsia="MS Mincho" w:cs="Times New Roman"/>
        </w:rPr>
        <w:t>Richard A. Castro Undergraduate Admissions Center</w:t>
      </w:r>
    </w:p>
    <w:p w14:paraId="10E2F83F" w14:textId="77777777" w:rsidR="00E16D7C" w:rsidRPr="00345384" w:rsidRDefault="00E16D7C" w:rsidP="00E16D7C">
      <w:pPr>
        <w:pStyle w:val="BodyText"/>
        <w:ind w:left="0"/>
      </w:pPr>
      <w:r w:rsidRPr="00345384">
        <w:t>429 N. Guadalupe St.</w:t>
      </w:r>
    </w:p>
    <w:p w14:paraId="6E5A55FC" w14:textId="77777777" w:rsidR="00E16D7C" w:rsidRPr="00345384" w:rsidRDefault="00E16D7C" w:rsidP="00E16D7C">
      <w:pPr>
        <w:pStyle w:val="BodyText"/>
        <w:ind w:left="0"/>
      </w:pPr>
      <w:r w:rsidRPr="00345384">
        <w:t>San Marcos, Texas 78666 512.245.2364</w:t>
      </w:r>
    </w:p>
    <w:p w14:paraId="1AA1A13B" w14:textId="79A14FC6" w:rsidR="00E16D7C" w:rsidRPr="00345384" w:rsidRDefault="00E5507E" w:rsidP="00E16D7C">
      <w:pPr>
        <w:pStyle w:val="BodyText"/>
        <w:ind w:left="0"/>
      </w:pPr>
      <w:hyperlink r:id="rId15" w:history="1">
        <w:r w:rsidR="0059611A" w:rsidRPr="00345384">
          <w:rPr>
            <w:rStyle w:val="Hyperlink"/>
          </w:rPr>
          <w:t>https://www.admissions.txstate.edu/</w:t>
        </w:r>
      </w:hyperlink>
    </w:p>
    <w:p w14:paraId="45B31180" w14:textId="77777777" w:rsidR="00E16D7C" w:rsidRPr="00345384" w:rsidRDefault="00E16D7C" w:rsidP="00BD3CB6">
      <w:pPr>
        <w:pStyle w:val="BodyText"/>
        <w:ind w:left="0"/>
      </w:pPr>
    </w:p>
    <w:p w14:paraId="2B881A74" w14:textId="77777777" w:rsidR="0059611A" w:rsidRPr="00345384" w:rsidRDefault="00BD3CB6" w:rsidP="00BD3CB6">
      <w:pPr>
        <w:spacing w:after="0" w:line="240" w:lineRule="auto"/>
        <w:rPr>
          <w:rFonts w:ascii="Cambria" w:eastAsia="MS Mincho" w:hAnsi="Cambria" w:cs="Times New Roman"/>
          <w:sz w:val="21"/>
          <w:szCs w:val="21"/>
        </w:rPr>
      </w:pPr>
      <w:r w:rsidRPr="00345384">
        <w:rPr>
          <w:rFonts w:ascii="Cambria" w:eastAsia="MS Mincho" w:hAnsi="Cambria" w:cs="Times New Roman"/>
          <w:sz w:val="21"/>
          <w:szCs w:val="21"/>
        </w:rPr>
        <w:t>College of Health Professions</w:t>
      </w:r>
      <w:r w:rsidR="0059611A" w:rsidRPr="00345384">
        <w:rPr>
          <w:rFonts w:ascii="Cambria" w:eastAsia="Cambria" w:hAnsi="Cambria" w:cs="Times New Roman"/>
          <w:sz w:val="21"/>
          <w:szCs w:val="21"/>
        </w:rPr>
        <w:t xml:space="preserve"> </w:t>
      </w:r>
      <w:r w:rsidRPr="00345384">
        <w:rPr>
          <w:rFonts w:ascii="Cambria" w:eastAsia="MS Mincho" w:hAnsi="Cambria" w:cs="Times New Roman"/>
          <w:sz w:val="21"/>
          <w:szCs w:val="21"/>
        </w:rPr>
        <w:t>Advising Center</w:t>
      </w:r>
    </w:p>
    <w:p w14:paraId="6B2AF075" w14:textId="22E0F79E" w:rsidR="00BD3CB6" w:rsidRPr="00345384" w:rsidRDefault="00BD3CB6" w:rsidP="00BD3CB6">
      <w:pPr>
        <w:spacing w:after="0" w:line="240" w:lineRule="auto"/>
        <w:rPr>
          <w:rFonts w:ascii="Cambria" w:eastAsia="Cambria" w:hAnsi="Cambria" w:cs="Times New Roman"/>
          <w:sz w:val="21"/>
          <w:szCs w:val="21"/>
        </w:rPr>
      </w:pPr>
      <w:r w:rsidRPr="00345384">
        <w:rPr>
          <w:rFonts w:ascii="Cambria" w:eastAsia="MS Mincho" w:hAnsi="Cambria" w:cs="Times New Roman"/>
          <w:sz w:val="21"/>
          <w:szCs w:val="21"/>
        </w:rPr>
        <w:t xml:space="preserve">Encino Hall </w:t>
      </w:r>
      <w:r w:rsidR="00374C88" w:rsidRPr="00345384">
        <w:rPr>
          <w:rFonts w:ascii="Cambria" w:eastAsia="MS Mincho" w:hAnsi="Cambria" w:cs="Times New Roman"/>
          <w:sz w:val="21"/>
          <w:szCs w:val="21"/>
        </w:rPr>
        <w:t>302</w:t>
      </w:r>
    </w:p>
    <w:p w14:paraId="6957B555" w14:textId="77777777" w:rsidR="00BD3CB6" w:rsidRPr="00345384" w:rsidRDefault="00BD3CB6" w:rsidP="00BD3CB6">
      <w:pPr>
        <w:spacing w:after="0" w:line="240" w:lineRule="auto"/>
        <w:rPr>
          <w:rFonts w:ascii="Cambria" w:eastAsia="MS Mincho" w:hAnsi="Cambria" w:cs="Times New Roman"/>
          <w:sz w:val="21"/>
          <w:szCs w:val="21"/>
        </w:rPr>
      </w:pPr>
      <w:r w:rsidRPr="00345384">
        <w:rPr>
          <w:rFonts w:ascii="Cambria" w:eastAsia="MS Mincho" w:hAnsi="Cambria" w:cs="Times New Roman"/>
          <w:sz w:val="21"/>
          <w:szCs w:val="21"/>
        </w:rPr>
        <w:t>512.245.3506</w:t>
      </w:r>
    </w:p>
    <w:p w14:paraId="70FCD3CF" w14:textId="7C4A1130" w:rsidR="004F70F6" w:rsidRPr="00345384" w:rsidRDefault="00E5507E" w:rsidP="00BC4AE8">
      <w:pPr>
        <w:spacing w:after="0" w:line="240" w:lineRule="auto"/>
        <w:rPr>
          <w:rStyle w:val="Hyperlink"/>
          <w:rFonts w:ascii="Cambria" w:eastAsia="MS Mincho" w:hAnsi="Cambria" w:cs="Times New Roman"/>
          <w:sz w:val="21"/>
          <w:szCs w:val="21"/>
        </w:rPr>
      </w:pPr>
      <w:hyperlink r:id="rId16" w:history="1">
        <w:r w:rsidR="0059611A" w:rsidRPr="00345384">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76FEE4F5" w:rsidR="00E16D7C" w:rsidRPr="00E16D7C" w:rsidRDefault="00F86D31" w:rsidP="00E16D7C">
      <w:pPr>
        <w:spacing w:after="0" w:line="240" w:lineRule="auto"/>
        <w:jc w:val="right"/>
        <w:rPr>
          <w:rFonts w:ascii="Cambria" w:hAnsi="Cambria"/>
          <w:b/>
          <w:sz w:val="17"/>
        </w:rPr>
      </w:pPr>
      <w:r>
        <w:rPr>
          <w:rFonts w:ascii="Cambria" w:hAnsi="Cambria"/>
          <w:b/>
          <w:sz w:val="17"/>
        </w:rPr>
        <w:t>JULY 2020</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191"/>
    <w:multiLevelType w:val="hybridMultilevel"/>
    <w:tmpl w:val="1CA4390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3"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4468"/>
    <w:multiLevelType w:val="hybridMultilevel"/>
    <w:tmpl w:val="21F29866"/>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752C1C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B0A57"/>
    <w:multiLevelType w:val="hybridMultilevel"/>
    <w:tmpl w:val="D84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F24BA"/>
    <w:multiLevelType w:val="hybridMultilevel"/>
    <w:tmpl w:val="789EB8A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9" w15:restartNumberingAfterBreak="0">
    <w:nsid w:val="4073422E"/>
    <w:multiLevelType w:val="hybridMultilevel"/>
    <w:tmpl w:val="2DAEE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BC7833"/>
    <w:multiLevelType w:val="multilevel"/>
    <w:tmpl w:val="115E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0B844E7"/>
    <w:multiLevelType w:val="multilevel"/>
    <w:tmpl w:val="09A6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025C4C"/>
    <w:multiLevelType w:val="multilevel"/>
    <w:tmpl w:val="4F7A8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2"/>
  </w:num>
  <w:num w:numId="2">
    <w:abstractNumId w:val="10"/>
  </w:num>
  <w:num w:numId="3">
    <w:abstractNumId w:val="16"/>
  </w:num>
  <w:num w:numId="4">
    <w:abstractNumId w:val="11"/>
  </w:num>
  <w:num w:numId="5">
    <w:abstractNumId w:val="7"/>
  </w:num>
  <w:num w:numId="6">
    <w:abstractNumId w:val="12"/>
  </w:num>
  <w:num w:numId="7">
    <w:abstractNumId w:val="8"/>
  </w:num>
  <w:num w:numId="8">
    <w:abstractNumId w:val="3"/>
  </w:num>
  <w:num w:numId="9">
    <w:abstractNumId w:val="0"/>
  </w:num>
  <w:num w:numId="10">
    <w:abstractNumId w:val="14"/>
  </w:num>
  <w:num w:numId="11">
    <w:abstractNumId w:val="1"/>
  </w:num>
  <w:num w:numId="12">
    <w:abstractNumId w:val="9"/>
  </w:num>
  <w:num w:numId="13">
    <w:abstractNumId w:val="4"/>
  </w:num>
  <w:num w:numId="14">
    <w:abstractNumId w:val="6"/>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25FD1"/>
    <w:rsid w:val="00032BD3"/>
    <w:rsid w:val="00057B1F"/>
    <w:rsid w:val="000A728A"/>
    <w:rsid w:val="00202EC2"/>
    <w:rsid w:val="00203857"/>
    <w:rsid w:val="002B6969"/>
    <w:rsid w:val="002C76A1"/>
    <w:rsid w:val="002F239C"/>
    <w:rsid w:val="002F3ADE"/>
    <w:rsid w:val="00335866"/>
    <w:rsid w:val="00345384"/>
    <w:rsid w:val="003554F0"/>
    <w:rsid w:val="003722F6"/>
    <w:rsid w:val="00374C88"/>
    <w:rsid w:val="003C4C25"/>
    <w:rsid w:val="0044372F"/>
    <w:rsid w:val="00466EA5"/>
    <w:rsid w:val="004E2E71"/>
    <w:rsid w:val="004F70F6"/>
    <w:rsid w:val="004F744D"/>
    <w:rsid w:val="0059611A"/>
    <w:rsid w:val="006013D1"/>
    <w:rsid w:val="00792CAE"/>
    <w:rsid w:val="007F2430"/>
    <w:rsid w:val="00803AB3"/>
    <w:rsid w:val="008A619A"/>
    <w:rsid w:val="008B33C2"/>
    <w:rsid w:val="008C71B2"/>
    <w:rsid w:val="00901465"/>
    <w:rsid w:val="0091007D"/>
    <w:rsid w:val="00913D52"/>
    <w:rsid w:val="009D4A85"/>
    <w:rsid w:val="00A2641F"/>
    <w:rsid w:val="00AB1F6C"/>
    <w:rsid w:val="00AC4E0E"/>
    <w:rsid w:val="00AF7A21"/>
    <w:rsid w:val="00B17390"/>
    <w:rsid w:val="00B9679B"/>
    <w:rsid w:val="00BC4AE8"/>
    <w:rsid w:val="00BD3CB6"/>
    <w:rsid w:val="00BE472D"/>
    <w:rsid w:val="00BF4BCD"/>
    <w:rsid w:val="00C44F3A"/>
    <w:rsid w:val="00D50567"/>
    <w:rsid w:val="00D55EA6"/>
    <w:rsid w:val="00DB5755"/>
    <w:rsid w:val="00DC3A67"/>
    <w:rsid w:val="00E16D7C"/>
    <w:rsid w:val="00E41476"/>
    <w:rsid w:val="00E50290"/>
    <w:rsid w:val="00E5507E"/>
    <w:rsid w:val="00F009CD"/>
    <w:rsid w:val="00F42A6A"/>
    <w:rsid w:val="00F50CB8"/>
    <w:rsid w:val="00F8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34"/>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8649">
      <w:bodyDiv w:val="1"/>
      <w:marLeft w:val="0"/>
      <w:marRight w:val="0"/>
      <w:marTop w:val="0"/>
      <w:marBottom w:val="0"/>
      <w:divBdr>
        <w:top w:val="none" w:sz="0" w:space="0" w:color="auto"/>
        <w:left w:val="none" w:sz="0" w:space="0" w:color="auto"/>
        <w:bottom w:val="none" w:sz="0" w:space="0" w:color="auto"/>
        <w:right w:val="none" w:sz="0" w:space="0" w:color="auto"/>
      </w:divBdr>
    </w:div>
    <w:div w:id="39939119">
      <w:bodyDiv w:val="1"/>
      <w:marLeft w:val="0"/>
      <w:marRight w:val="0"/>
      <w:marTop w:val="0"/>
      <w:marBottom w:val="0"/>
      <w:divBdr>
        <w:top w:val="none" w:sz="0" w:space="0" w:color="auto"/>
        <w:left w:val="none" w:sz="0" w:space="0" w:color="auto"/>
        <w:bottom w:val="none" w:sz="0" w:space="0" w:color="auto"/>
        <w:right w:val="none" w:sz="0" w:space="0" w:color="auto"/>
      </w:divBdr>
    </w:div>
    <w:div w:id="76176555">
      <w:bodyDiv w:val="1"/>
      <w:marLeft w:val="0"/>
      <w:marRight w:val="0"/>
      <w:marTop w:val="0"/>
      <w:marBottom w:val="0"/>
      <w:divBdr>
        <w:top w:val="none" w:sz="0" w:space="0" w:color="auto"/>
        <w:left w:val="none" w:sz="0" w:space="0" w:color="auto"/>
        <w:bottom w:val="none" w:sz="0" w:space="0" w:color="auto"/>
        <w:right w:val="none" w:sz="0" w:space="0" w:color="auto"/>
      </w:divBdr>
    </w:div>
    <w:div w:id="227304941">
      <w:bodyDiv w:val="1"/>
      <w:marLeft w:val="0"/>
      <w:marRight w:val="0"/>
      <w:marTop w:val="0"/>
      <w:marBottom w:val="0"/>
      <w:divBdr>
        <w:top w:val="none" w:sz="0" w:space="0" w:color="auto"/>
        <w:left w:val="none" w:sz="0" w:space="0" w:color="auto"/>
        <w:bottom w:val="none" w:sz="0" w:space="0" w:color="auto"/>
        <w:right w:val="none" w:sz="0" w:space="0" w:color="auto"/>
      </w:divBdr>
    </w:div>
    <w:div w:id="277376890">
      <w:bodyDiv w:val="1"/>
      <w:marLeft w:val="0"/>
      <w:marRight w:val="0"/>
      <w:marTop w:val="0"/>
      <w:marBottom w:val="0"/>
      <w:divBdr>
        <w:top w:val="none" w:sz="0" w:space="0" w:color="auto"/>
        <w:left w:val="none" w:sz="0" w:space="0" w:color="auto"/>
        <w:bottom w:val="none" w:sz="0" w:space="0" w:color="auto"/>
        <w:right w:val="none" w:sz="0" w:space="0" w:color="auto"/>
      </w:divBdr>
    </w:div>
    <w:div w:id="429358688">
      <w:bodyDiv w:val="1"/>
      <w:marLeft w:val="0"/>
      <w:marRight w:val="0"/>
      <w:marTop w:val="0"/>
      <w:marBottom w:val="0"/>
      <w:divBdr>
        <w:top w:val="none" w:sz="0" w:space="0" w:color="auto"/>
        <w:left w:val="none" w:sz="0" w:space="0" w:color="auto"/>
        <w:bottom w:val="none" w:sz="0" w:space="0" w:color="auto"/>
        <w:right w:val="none" w:sz="0" w:space="0" w:color="auto"/>
      </w:divBdr>
    </w:div>
    <w:div w:id="451365778">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29863">
      <w:bodyDiv w:val="1"/>
      <w:marLeft w:val="0"/>
      <w:marRight w:val="0"/>
      <w:marTop w:val="0"/>
      <w:marBottom w:val="0"/>
      <w:divBdr>
        <w:top w:val="none" w:sz="0" w:space="0" w:color="auto"/>
        <w:left w:val="none" w:sz="0" w:space="0" w:color="auto"/>
        <w:bottom w:val="none" w:sz="0" w:space="0" w:color="auto"/>
        <w:right w:val="none" w:sz="0" w:space="0" w:color="auto"/>
      </w:divBdr>
    </w:div>
    <w:div w:id="852454203">
      <w:bodyDiv w:val="1"/>
      <w:marLeft w:val="0"/>
      <w:marRight w:val="0"/>
      <w:marTop w:val="0"/>
      <w:marBottom w:val="0"/>
      <w:divBdr>
        <w:top w:val="none" w:sz="0" w:space="0" w:color="auto"/>
        <w:left w:val="none" w:sz="0" w:space="0" w:color="auto"/>
        <w:bottom w:val="none" w:sz="0" w:space="0" w:color="auto"/>
        <w:right w:val="none" w:sz="0" w:space="0" w:color="auto"/>
      </w:divBdr>
    </w:div>
    <w:div w:id="934897389">
      <w:bodyDiv w:val="1"/>
      <w:marLeft w:val="0"/>
      <w:marRight w:val="0"/>
      <w:marTop w:val="0"/>
      <w:marBottom w:val="0"/>
      <w:divBdr>
        <w:top w:val="none" w:sz="0" w:space="0" w:color="auto"/>
        <w:left w:val="none" w:sz="0" w:space="0" w:color="auto"/>
        <w:bottom w:val="none" w:sz="0" w:space="0" w:color="auto"/>
        <w:right w:val="none" w:sz="0" w:space="0" w:color="auto"/>
      </w:divBdr>
    </w:div>
    <w:div w:id="1198815646">
      <w:bodyDiv w:val="1"/>
      <w:marLeft w:val="0"/>
      <w:marRight w:val="0"/>
      <w:marTop w:val="0"/>
      <w:marBottom w:val="0"/>
      <w:divBdr>
        <w:top w:val="none" w:sz="0" w:space="0" w:color="auto"/>
        <w:left w:val="none" w:sz="0" w:space="0" w:color="auto"/>
        <w:bottom w:val="none" w:sz="0" w:space="0" w:color="auto"/>
        <w:right w:val="none" w:sz="0" w:space="0" w:color="auto"/>
      </w:divBdr>
    </w:div>
    <w:div w:id="1366640347">
      <w:bodyDiv w:val="1"/>
      <w:marLeft w:val="0"/>
      <w:marRight w:val="0"/>
      <w:marTop w:val="0"/>
      <w:marBottom w:val="0"/>
      <w:divBdr>
        <w:top w:val="none" w:sz="0" w:space="0" w:color="auto"/>
        <w:left w:val="none" w:sz="0" w:space="0" w:color="auto"/>
        <w:bottom w:val="none" w:sz="0" w:space="0" w:color="auto"/>
        <w:right w:val="none" w:sz="0" w:space="0" w:color="auto"/>
      </w:divBdr>
    </w:div>
    <w:div w:id="1448694973">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36313213">
      <w:bodyDiv w:val="1"/>
      <w:marLeft w:val="0"/>
      <w:marRight w:val="0"/>
      <w:marTop w:val="0"/>
      <w:marBottom w:val="0"/>
      <w:divBdr>
        <w:top w:val="none" w:sz="0" w:space="0" w:color="auto"/>
        <w:left w:val="none" w:sz="0" w:space="0" w:color="auto"/>
        <w:bottom w:val="none" w:sz="0" w:space="0" w:color="auto"/>
        <w:right w:val="none" w:sz="0" w:space="0" w:color="auto"/>
      </w:divBdr>
    </w:div>
    <w:div w:id="1828979583">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03557">
      <w:bodyDiv w:val="1"/>
      <w:marLeft w:val="0"/>
      <w:marRight w:val="0"/>
      <w:marTop w:val="0"/>
      <w:marBottom w:val="0"/>
      <w:divBdr>
        <w:top w:val="none" w:sz="0" w:space="0" w:color="auto"/>
        <w:left w:val="none" w:sz="0" w:space="0" w:color="auto"/>
        <w:bottom w:val="none" w:sz="0" w:space="0" w:color="auto"/>
        <w:right w:val="none" w:sz="0" w:space="0" w:color="auto"/>
      </w:divBdr>
    </w:div>
    <w:div w:id="1937055236">
      <w:bodyDiv w:val="1"/>
      <w:marLeft w:val="0"/>
      <w:marRight w:val="0"/>
      <w:marTop w:val="0"/>
      <w:marBottom w:val="0"/>
      <w:divBdr>
        <w:top w:val="none" w:sz="0" w:space="0" w:color="auto"/>
        <w:left w:val="none" w:sz="0" w:space="0" w:color="auto"/>
        <w:bottom w:val="none" w:sz="0" w:space="0" w:color="auto"/>
        <w:right w:val="none" w:sz="0" w:space="0" w:color="auto"/>
      </w:divBdr>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txstate.edu/advis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pplytexas.org/adappc/gen/c_start.WBX"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mycatalog.txstate.edu/search/?P=HA%204141" TargetMode="External"/><Relationship Id="rId4" Type="http://schemas.openxmlformats.org/officeDocument/2006/relationships/settings" Target="settings.xml"/><Relationship Id="rId9" Type="http://schemas.openxmlformats.org/officeDocument/2006/relationships/hyperlink" Target="http://gato-docs.its.txstate.edu/jcr:9c8bdd2b-4908-49e9-b36a-24e934c70155/BHA%20ADM%20APPL__.doc"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BA44D-FBAD-4D82-9786-61EFB26C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7</cp:revision>
  <cp:lastPrinted>2019-02-13T14:43:00Z</cp:lastPrinted>
  <dcterms:created xsi:type="dcterms:W3CDTF">2019-10-29T21:23:00Z</dcterms:created>
  <dcterms:modified xsi:type="dcterms:W3CDTF">2020-07-30T21:01:00Z</dcterms:modified>
</cp:coreProperties>
</file>