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29" w:rsidRDefault="00960129" w:rsidP="00224EED">
      <w:pPr>
        <w:pStyle w:val="Title"/>
        <w:ind w:right="70"/>
        <w:rPr>
          <w:sz w:val="28"/>
        </w:rPr>
      </w:pPr>
    </w:p>
    <w:p w:rsidR="0044325A" w:rsidRPr="006114CB" w:rsidRDefault="009306A3" w:rsidP="00224EED">
      <w:pPr>
        <w:pStyle w:val="Title"/>
        <w:ind w:right="70"/>
        <w:rPr>
          <w:b w:val="0"/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224EED" w:rsidRPr="002B20C1">
        <w:rPr>
          <w:sz w:val="24"/>
          <w:szCs w:val="24"/>
        </w:rPr>
        <w:t>TRAVEL POLICY</w:t>
      </w:r>
      <w:r w:rsidR="006114CB">
        <w:rPr>
          <w:sz w:val="24"/>
          <w:szCs w:val="24"/>
        </w:rPr>
        <w:t xml:space="preserve"> </w:t>
      </w:r>
    </w:p>
    <w:p w:rsidR="00224EED" w:rsidRPr="002B20C1" w:rsidRDefault="00224EED" w:rsidP="00224EED">
      <w:pPr>
        <w:tabs>
          <w:tab w:val="right" w:pos="4882"/>
        </w:tabs>
        <w:ind w:right="70"/>
        <w:jc w:val="center"/>
        <w:rPr>
          <w:rFonts w:ascii="Times" w:hAnsi="Times"/>
          <w:b/>
          <w:sz w:val="24"/>
          <w:szCs w:val="24"/>
        </w:rPr>
      </w:pPr>
      <w:r w:rsidRPr="002B20C1">
        <w:rPr>
          <w:rFonts w:ascii="Times" w:hAnsi="Times"/>
          <w:b/>
          <w:sz w:val="24"/>
          <w:szCs w:val="24"/>
        </w:rPr>
        <w:t>DEPARTMENT OF PSYCHOLOGY</w:t>
      </w:r>
    </w:p>
    <w:p w:rsidR="006114CB" w:rsidRDefault="006114CB" w:rsidP="006114CB">
      <w:pPr>
        <w:pStyle w:val="Title"/>
        <w:ind w:right="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proofErr w:type="gramStart"/>
      <w:r>
        <w:rPr>
          <w:b w:val="0"/>
          <w:sz w:val="24"/>
          <w:szCs w:val="24"/>
        </w:rPr>
        <w:t>approved</w:t>
      </w:r>
      <w:proofErr w:type="gramEnd"/>
      <w:r>
        <w:rPr>
          <w:b w:val="0"/>
          <w:sz w:val="24"/>
          <w:szCs w:val="24"/>
        </w:rPr>
        <w:t xml:space="preserve"> without dissent in faculty meeting on April 6, 2015)</w:t>
      </w:r>
    </w:p>
    <w:p w:rsidR="006760DF" w:rsidRDefault="006760DF" w:rsidP="006114CB">
      <w:pPr>
        <w:pStyle w:val="Title"/>
        <w:ind w:right="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proofErr w:type="gramStart"/>
      <w:r>
        <w:rPr>
          <w:b w:val="0"/>
          <w:sz w:val="24"/>
          <w:szCs w:val="24"/>
        </w:rPr>
        <w:t>modified</w:t>
      </w:r>
      <w:proofErr w:type="gramEnd"/>
      <w:r>
        <w:rPr>
          <w:b w:val="0"/>
          <w:sz w:val="24"/>
          <w:szCs w:val="24"/>
        </w:rPr>
        <w:t xml:space="preserve"> without dissent in faculty meeting on September 12, 2016)</w:t>
      </w:r>
    </w:p>
    <w:p w:rsidR="00C644ED" w:rsidRPr="006114CB" w:rsidRDefault="00C644ED" w:rsidP="00C644ED">
      <w:pPr>
        <w:pStyle w:val="Title"/>
        <w:ind w:right="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proofErr w:type="gramStart"/>
      <w:r>
        <w:rPr>
          <w:b w:val="0"/>
          <w:sz w:val="24"/>
          <w:szCs w:val="24"/>
        </w:rPr>
        <w:t>modified</w:t>
      </w:r>
      <w:proofErr w:type="gramEnd"/>
      <w:r>
        <w:rPr>
          <w:b w:val="0"/>
          <w:sz w:val="24"/>
          <w:szCs w:val="24"/>
        </w:rPr>
        <w:t xml:space="preserve"> without dissent in</w:t>
      </w:r>
      <w:r>
        <w:rPr>
          <w:b w:val="0"/>
          <w:sz w:val="24"/>
          <w:szCs w:val="24"/>
        </w:rPr>
        <w:t xml:space="preserve"> faculty meeting on September 11, 2017</w:t>
      </w:r>
      <w:r>
        <w:rPr>
          <w:b w:val="0"/>
          <w:sz w:val="24"/>
          <w:szCs w:val="24"/>
        </w:rPr>
        <w:t>)</w:t>
      </w:r>
    </w:p>
    <w:p w:rsidR="00C644ED" w:rsidRPr="006114CB" w:rsidRDefault="00C644ED" w:rsidP="006114CB">
      <w:pPr>
        <w:pStyle w:val="Title"/>
        <w:ind w:right="70"/>
        <w:rPr>
          <w:b w:val="0"/>
          <w:sz w:val="24"/>
          <w:szCs w:val="24"/>
        </w:rPr>
      </w:pPr>
    </w:p>
    <w:p w:rsidR="00224EED" w:rsidRDefault="00224EED" w:rsidP="00224EED">
      <w:pPr>
        <w:ind w:right="70"/>
        <w:rPr>
          <w:rFonts w:ascii="Times" w:hAnsi="Times"/>
          <w:sz w:val="24"/>
        </w:rPr>
      </w:pPr>
    </w:p>
    <w:p w:rsidR="00224EED" w:rsidRDefault="00224EED" w:rsidP="000A41D3">
      <w:pPr>
        <w:ind w:right="70"/>
        <w:rPr>
          <w:rFonts w:ascii="Times" w:hAnsi="Times"/>
          <w:sz w:val="24"/>
        </w:rPr>
      </w:pPr>
      <w:r w:rsidRPr="00224EED">
        <w:rPr>
          <w:rFonts w:ascii="Times" w:hAnsi="Times"/>
          <w:b/>
          <w:sz w:val="24"/>
        </w:rPr>
        <w:t>PURPOSE:</w:t>
      </w:r>
      <w:r>
        <w:rPr>
          <w:rFonts w:ascii="Times" w:hAnsi="Times"/>
          <w:sz w:val="24"/>
        </w:rPr>
        <w:t xml:space="preserve"> To establish clear guidelines for faculty travel in the Department of Psychology.</w:t>
      </w:r>
      <w:r w:rsidR="009214E6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Travel dollar alloc</w:t>
      </w:r>
      <w:r w:rsidR="005102CA">
        <w:rPr>
          <w:rFonts w:ascii="Times" w:hAnsi="Times"/>
          <w:sz w:val="24"/>
        </w:rPr>
        <w:t xml:space="preserve">ations will be based on </w:t>
      </w:r>
      <w:r w:rsidR="00A92978">
        <w:rPr>
          <w:rFonts w:ascii="Times" w:hAnsi="Times"/>
          <w:sz w:val="24"/>
        </w:rPr>
        <w:t xml:space="preserve">the University-designated departmental travel budget and this </w:t>
      </w:r>
      <w:r w:rsidR="005102CA">
        <w:rPr>
          <w:rFonts w:ascii="Times" w:hAnsi="Times"/>
          <w:sz w:val="24"/>
        </w:rPr>
        <w:t>faculty-</w:t>
      </w:r>
      <w:r>
        <w:rPr>
          <w:rFonts w:ascii="Times" w:hAnsi="Times"/>
          <w:sz w:val="24"/>
        </w:rPr>
        <w:t>approved departmental tra</w:t>
      </w:r>
      <w:r w:rsidR="00A92978">
        <w:rPr>
          <w:rFonts w:ascii="Times" w:hAnsi="Times"/>
          <w:sz w:val="24"/>
        </w:rPr>
        <w:t>vel policy</w:t>
      </w:r>
      <w:r>
        <w:rPr>
          <w:rFonts w:ascii="Times" w:hAnsi="Times"/>
          <w:sz w:val="24"/>
        </w:rPr>
        <w:t>.</w:t>
      </w:r>
      <w:r w:rsidR="009214E6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This </w:t>
      </w:r>
      <w:r w:rsidR="0017268F">
        <w:rPr>
          <w:rFonts w:ascii="Times" w:hAnsi="Times"/>
          <w:sz w:val="24"/>
        </w:rPr>
        <w:t xml:space="preserve">policy applies to </w:t>
      </w:r>
      <w:r>
        <w:rPr>
          <w:rFonts w:ascii="Times" w:hAnsi="Times"/>
          <w:sz w:val="24"/>
        </w:rPr>
        <w:t>all tenured faculty, tenure-track faculty, senior lecture</w:t>
      </w:r>
      <w:r w:rsidR="0017268F">
        <w:rPr>
          <w:rFonts w:ascii="Times" w:hAnsi="Times"/>
          <w:sz w:val="24"/>
        </w:rPr>
        <w:t>r</w:t>
      </w:r>
      <w:r>
        <w:rPr>
          <w:rFonts w:ascii="Times" w:hAnsi="Times"/>
          <w:sz w:val="24"/>
        </w:rPr>
        <w:t>s,</w:t>
      </w:r>
      <w:r w:rsidR="009214E6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lecturers and per-course lecturers.</w:t>
      </w:r>
    </w:p>
    <w:p w:rsidR="0097289B" w:rsidRDefault="0097289B">
      <w:pPr>
        <w:ind w:right="70"/>
        <w:rPr>
          <w:rFonts w:ascii="Times" w:hAnsi="Times"/>
          <w:sz w:val="24"/>
        </w:rPr>
      </w:pPr>
    </w:p>
    <w:p w:rsidR="00224EED" w:rsidRDefault="0097289B">
      <w:pPr>
        <w:ind w:right="70"/>
        <w:rPr>
          <w:rFonts w:ascii="Times" w:hAnsi="Times"/>
          <w:sz w:val="24"/>
        </w:rPr>
      </w:pPr>
      <w:r w:rsidRPr="0097289B">
        <w:rPr>
          <w:rFonts w:ascii="Times" w:hAnsi="Times"/>
          <w:b/>
          <w:sz w:val="24"/>
        </w:rPr>
        <w:t>DISTRIBUTION OF FUNDS:</w:t>
      </w:r>
      <w:bookmarkStart w:id="0" w:name="_GoBack"/>
      <w:bookmarkEnd w:id="0"/>
    </w:p>
    <w:p w:rsidR="00224EED" w:rsidRPr="00224EED" w:rsidRDefault="00224EED" w:rsidP="00CC26D7">
      <w:pPr>
        <w:pStyle w:val="BodyText2"/>
        <w:jc w:val="left"/>
        <w:rPr>
          <w:b/>
          <w:color w:val="auto"/>
        </w:rPr>
      </w:pPr>
      <w:r>
        <w:tab/>
      </w:r>
      <w:r w:rsidRPr="00224EED">
        <w:rPr>
          <w:b/>
          <w:color w:val="auto"/>
        </w:rPr>
        <w:t xml:space="preserve">Tier </w:t>
      </w:r>
      <w:r w:rsidR="001A6FED">
        <w:rPr>
          <w:b/>
          <w:color w:val="auto"/>
        </w:rPr>
        <w:t>I</w:t>
      </w:r>
      <w:r w:rsidRPr="00224EED">
        <w:rPr>
          <w:b/>
          <w:color w:val="auto"/>
        </w:rPr>
        <w:t xml:space="preserve"> Travel - $1</w:t>
      </w:r>
      <w:r w:rsidR="008A7A44">
        <w:rPr>
          <w:b/>
          <w:color w:val="auto"/>
        </w:rPr>
        <w:t>6</w:t>
      </w:r>
      <w:r w:rsidRPr="00224EED">
        <w:rPr>
          <w:b/>
          <w:color w:val="auto"/>
        </w:rPr>
        <w:t>00 Allocation</w:t>
      </w:r>
    </w:p>
    <w:p w:rsidR="00224EED" w:rsidRDefault="00224EED" w:rsidP="00CC26D7">
      <w:pPr>
        <w:pStyle w:val="BodyText2"/>
        <w:numPr>
          <w:ilvl w:val="0"/>
          <w:numId w:val="1"/>
        </w:numPr>
        <w:jc w:val="left"/>
        <w:rPr>
          <w:color w:val="auto"/>
        </w:rPr>
      </w:pPr>
      <w:r>
        <w:rPr>
          <w:color w:val="auto"/>
        </w:rPr>
        <w:t xml:space="preserve">Faculty who have </w:t>
      </w:r>
      <w:r w:rsidR="000A41D3">
        <w:rPr>
          <w:color w:val="auto"/>
        </w:rPr>
        <w:t xml:space="preserve">empirical </w:t>
      </w:r>
      <w:r>
        <w:rPr>
          <w:color w:val="auto"/>
        </w:rPr>
        <w:t xml:space="preserve">papers </w:t>
      </w:r>
      <w:r w:rsidR="0017268F">
        <w:rPr>
          <w:color w:val="auto"/>
        </w:rPr>
        <w:t xml:space="preserve">or posters </w:t>
      </w:r>
      <w:r>
        <w:rPr>
          <w:color w:val="auto"/>
        </w:rPr>
        <w:t>accepted for presentation</w:t>
      </w:r>
      <w:r w:rsidR="0017268F">
        <w:rPr>
          <w:color w:val="auto"/>
        </w:rPr>
        <w:t>.</w:t>
      </w:r>
      <w:r w:rsidR="009214E6">
        <w:rPr>
          <w:color w:val="auto"/>
        </w:rPr>
        <w:t xml:space="preserve"> </w:t>
      </w:r>
      <w:r w:rsidR="0017268F">
        <w:rPr>
          <w:color w:val="auto"/>
        </w:rPr>
        <w:t>Typically, these presentations involve</w:t>
      </w:r>
      <w:r w:rsidR="009214E6">
        <w:rPr>
          <w:color w:val="auto"/>
        </w:rPr>
        <w:t xml:space="preserve"> research findings (i.e.,</w:t>
      </w:r>
      <w:r w:rsidR="0017268F">
        <w:rPr>
          <w:color w:val="auto"/>
        </w:rPr>
        <w:t xml:space="preserve"> data</w:t>
      </w:r>
      <w:r w:rsidR="009214E6">
        <w:rPr>
          <w:color w:val="auto"/>
        </w:rPr>
        <w:t>)</w:t>
      </w:r>
      <w:r w:rsidR="0017268F">
        <w:rPr>
          <w:color w:val="auto"/>
        </w:rPr>
        <w:t xml:space="preserve"> that have not been presented elsewhere.</w:t>
      </w:r>
    </w:p>
    <w:p w:rsidR="00224EED" w:rsidRPr="0097289B" w:rsidRDefault="00224EED" w:rsidP="00CC26D7">
      <w:pPr>
        <w:pStyle w:val="BodyText2"/>
        <w:numPr>
          <w:ilvl w:val="0"/>
          <w:numId w:val="1"/>
        </w:numPr>
        <w:jc w:val="left"/>
        <w:rPr>
          <w:b/>
          <w:color w:val="auto"/>
        </w:rPr>
      </w:pPr>
      <w:r>
        <w:rPr>
          <w:color w:val="auto"/>
        </w:rPr>
        <w:t>Conference program chairs or professional organization officers whose attendance is essential for the successful operation of the conference.</w:t>
      </w:r>
    </w:p>
    <w:p w:rsidR="0097289B" w:rsidRDefault="0097289B" w:rsidP="00CC26D7">
      <w:pPr>
        <w:pStyle w:val="BodyText2"/>
        <w:numPr>
          <w:ilvl w:val="0"/>
          <w:numId w:val="1"/>
        </w:numPr>
        <w:jc w:val="left"/>
        <w:rPr>
          <w:b/>
          <w:color w:val="auto"/>
        </w:rPr>
      </w:pPr>
      <w:r>
        <w:rPr>
          <w:color w:val="auto"/>
        </w:rPr>
        <w:t>Faculty performing professional service as discussants in academic paper presentations or as invited presenters for panel sessions.</w:t>
      </w:r>
    </w:p>
    <w:p w:rsidR="00224EED" w:rsidRDefault="00224EED" w:rsidP="00CC26D7">
      <w:pPr>
        <w:pStyle w:val="BodyText2"/>
        <w:jc w:val="left"/>
        <w:rPr>
          <w:b/>
          <w:color w:val="auto"/>
        </w:rPr>
      </w:pPr>
    </w:p>
    <w:p w:rsidR="00224EED" w:rsidRDefault="00825FAB" w:rsidP="00CC26D7">
      <w:pPr>
        <w:pStyle w:val="BodyText2"/>
        <w:jc w:val="left"/>
        <w:rPr>
          <w:b/>
          <w:color w:val="auto"/>
        </w:rPr>
      </w:pPr>
      <w:r>
        <w:rPr>
          <w:b/>
          <w:color w:val="auto"/>
        </w:rPr>
        <w:tab/>
        <w:t xml:space="preserve">Tier II </w:t>
      </w:r>
      <w:r w:rsidR="00224EED">
        <w:rPr>
          <w:b/>
          <w:color w:val="auto"/>
        </w:rPr>
        <w:t>Travel - $</w:t>
      </w:r>
      <w:r w:rsidR="008A7A44">
        <w:rPr>
          <w:b/>
          <w:color w:val="auto"/>
        </w:rPr>
        <w:t>8</w:t>
      </w:r>
      <w:r w:rsidR="00224EED">
        <w:rPr>
          <w:b/>
          <w:color w:val="auto"/>
        </w:rPr>
        <w:t>00 Allocation</w:t>
      </w:r>
    </w:p>
    <w:p w:rsidR="00825FAB" w:rsidRPr="00025C0E" w:rsidRDefault="000A41D3" w:rsidP="00025C0E">
      <w:pPr>
        <w:pStyle w:val="BodyText2"/>
        <w:numPr>
          <w:ilvl w:val="0"/>
          <w:numId w:val="1"/>
        </w:numPr>
        <w:jc w:val="left"/>
        <w:rPr>
          <w:b/>
          <w:color w:val="auto"/>
        </w:rPr>
      </w:pPr>
      <w:r w:rsidRPr="000A41D3">
        <w:rPr>
          <w:color w:val="auto"/>
        </w:rPr>
        <w:t>Attendance at events that clearly enhance the faculty member’s p</w:t>
      </w:r>
      <w:r w:rsidR="0097289B" w:rsidRPr="000A41D3">
        <w:rPr>
          <w:color w:val="auto"/>
        </w:rPr>
        <w:t>rofessional development</w:t>
      </w:r>
      <w:r w:rsidR="00946E24">
        <w:rPr>
          <w:color w:val="auto"/>
        </w:rPr>
        <w:t xml:space="preserve"> as related to teaching, research, or service.</w:t>
      </w:r>
    </w:p>
    <w:p w:rsidR="0097289B" w:rsidRPr="000A41D3" w:rsidRDefault="0097289B" w:rsidP="00CC26D7">
      <w:pPr>
        <w:pStyle w:val="BodyText2"/>
        <w:ind w:left="1800"/>
        <w:rPr>
          <w:color w:val="auto"/>
        </w:rPr>
      </w:pPr>
    </w:p>
    <w:p w:rsidR="0097289B" w:rsidRDefault="0097289B">
      <w:pPr>
        <w:pStyle w:val="BodyText2"/>
        <w:rPr>
          <w:color w:val="auto"/>
        </w:rPr>
      </w:pPr>
      <w:r w:rsidRPr="0097289B">
        <w:rPr>
          <w:b/>
          <w:color w:val="auto"/>
        </w:rPr>
        <w:t>GENERAL INFORMATION:</w:t>
      </w:r>
    </w:p>
    <w:p w:rsidR="00A92978" w:rsidRPr="00A92978" w:rsidRDefault="00A92978" w:rsidP="00A92978">
      <w:pPr>
        <w:pStyle w:val="BodyText2"/>
        <w:numPr>
          <w:ilvl w:val="0"/>
          <w:numId w:val="1"/>
        </w:numPr>
        <w:ind w:left="1080"/>
        <w:jc w:val="left"/>
        <w:rPr>
          <w:b/>
          <w:color w:val="auto"/>
        </w:rPr>
      </w:pPr>
      <w:r>
        <w:rPr>
          <w:color w:val="auto"/>
        </w:rPr>
        <w:t>Faculty must comply with Texas State Travel Office policies and the State of Texas Travel Allowance Guide (</w:t>
      </w:r>
      <w:hyperlink r:id="rId8" w:history="1">
        <w:r w:rsidRPr="0040653D">
          <w:rPr>
            <w:rStyle w:val="Hyperlink"/>
          </w:rPr>
          <w:t>http://www.txstate.edu/gao/ap/travel/</w:t>
        </w:r>
      </w:hyperlink>
      <w:r>
        <w:rPr>
          <w:color w:val="auto"/>
        </w:rPr>
        <w:t>).</w:t>
      </w:r>
    </w:p>
    <w:p w:rsidR="00750599" w:rsidRPr="00CC26D7" w:rsidRDefault="00750599" w:rsidP="004E1C73">
      <w:pPr>
        <w:pStyle w:val="BodyText2"/>
        <w:numPr>
          <w:ilvl w:val="0"/>
          <w:numId w:val="1"/>
        </w:numPr>
        <w:ind w:left="1080"/>
        <w:jc w:val="left"/>
        <w:rPr>
          <w:b/>
          <w:color w:val="auto"/>
        </w:rPr>
      </w:pPr>
      <w:r>
        <w:rPr>
          <w:color w:val="auto"/>
        </w:rPr>
        <w:t>All travel requests should be initiated using a web-base</w:t>
      </w:r>
      <w:r w:rsidR="00FA2214">
        <w:rPr>
          <w:color w:val="auto"/>
        </w:rPr>
        <w:t xml:space="preserve">d departmental form at: </w:t>
      </w:r>
      <w:hyperlink r:id="rId9" w:history="1">
        <w:r w:rsidR="00FA2214" w:rsidRPr="00341317">
          <w:rPr>
            <w:rStyle w:val="Hyperlink"/>
          </w:rPr>
          <w:t>http://www.psych.txstate.edu/faculty/requests/travel.html</w:t>
        </w:r>
      </w:hyperlink>
      <w:r>
        <w:rPr>
          <w:color w:val="auto"/>
        </w:rPr>
        <w:t>.</w:t>
      </w:r>
    </w:p>
    <w:p w:rsidR="001A6FED" w:rsidRPr="001A6FED" w:rsidRDefault="001A6FED" w:rsidP="004E1C73">
      <w:pPr>
        <w:pStyle w:val="BodyText2"/>
        <w:numPr>
          <w:ilvl w:val="0"/>
          <w:numId w:val="1"/>
        </w:numPr>
        <w:ind w:left="1080"/>
        <w:jc w:val="left"/>
        <w:rPr>
          <w:b/>
          <w:color w:val="auto"/>
        </w:rPr>
      </w:pPr>
      <w:r>
        <w:rPr>
          <w:color w:val="auto"/>
        </w:rPr>
        <w:t xml:space="preserve">Faculty may </w:t>
      </w:r>
      <w:r w:rsidR="009214E6">
        <w:rPr>
          <w:color w:val="auto"/>
        </w:rPr>
        <w:t xml:space="preserve">receive funds </w:t>
      </w:r>
      <w:r>
        <w:rPr>
          <w:color w:val="auto"/>
        </w:rPr>
        <w:t xml:space="preserve">from </w:t>
      </w:r>
      <w:r w:rsidR="009214E6">
        <w:rPr>
          <w:color w:val="auto"/>
        </w:rPr>
        <w:t xml:space="preserve">only </w:t>
      </w:r>
      <w:r>
        <w:rPr>
          <w:color w:val="auto"/>
        </w:rPr>
        <w:t xml:space="preserve">one tier per fiscal year </w:t>
      </w:r>
      <w:r w:rsidR="009214E6">
        <w:rPr>
          <w:color w:val="auto"/>
        </w:rPr>
        <w:t xml:space="preserve">and may </w:t>
      </w:r>
      <w:r>
        <w:rPr>
          <w:color w:val="auto"/>
        </w:rPr>
        <w:t>not combine tiers</w:t>
      </w:r>
      <w:r w:rsidR="002E6982">
        <w:rPr>
          <w:color w:val="auto"/>
        </w:rPr>
        <w:t xml:space="preserve"> within a single fiscal year</w:t>
      </w:r>
      <w:r>
        <w:rPr>
          <w:color w:val="auto"/>
        </w:rPr>
        <w:t>.</w:t>
      </w:r>
    </w:p>
    <w:p w:rsidR="001A6FED" w:rsidRPr="00FF2D2E" w:rsidRDefault="001A6FED" w:rsidP="004E1C73">
      <w:pPr>
        <w:pStyle w:val="BodyText2"/>
        <w:numPr>
          <w:ilvl w:val="0"/>
          <w:numId w:val="1"/>
        </w:numPr>
        <w:ind w:left="1080"/>
        <w:jc w:val="left"/>
        <w:rPr>
          <w:b/>
          <w:color w:val="auto"/>
        </w:rPr>
      </w:pPr>
      <w:r>
        <w:rPr>
          <w:color w:val="auto"/>
        </w:rPr>
        <w:t xml:space="preserve">Faculty may attend multiple conferences and </w:t>
      </w:r>
      <w:r w:rsidR="002E6982">
        <w:rPr>
          <w:color w:val="auto"/>
        </w:rPr>
        <w:t xml:space="preserve">divide </w:t>
      </w:r>
      <w:r>
        <w:rPr>
          <w:color w:val="auto"/>
        </w:rPr>
        <w:t xml:space="preserve">the allocation </w:t>
      </w:r>
      <w:r w:rsidR="002E6982">
        <w:rPr>
          <w:color w:val="auto"/>
        </w:rPr>
        <w:t>within a tier</w:t>
      </w:r>
      <w:r>
        <w:rPr>
          <w:color w:val="auto"/>
        </w:rPr>
        <w:t xml:space="preserve"> </w:t>
      </w:r>
      <w:r w:rsidR="00FF2D2E">
        <w:rPr>
          <w:color w:val="auto"/>
        </w:rPr>
        <w:t>(Example:</w:t>
      </w:r>
      <w:r w:rsidR="009214E6">
        <w:rPr>
          <w:color w:val="auto"/>
        </w:rPr>
        <w:t xml:space="preserve"> </w:t>
      </w:r>
      <w:r w:rsidR="00FF2D2E">
        <w:rPr>
          <w:color w:val="auto"/>
        </w:rPr>
        <w:t xml:space="preserve">Tier I is </w:t>
      </w:r>
      <w:r w:rsidR="002E6982">
        <w:rPr>
          <w:color w:val="auto"/>
        </w:rPr>
        <w:t xml:space="preserve">appropriate </w:t>
      </w:r>
      <w:r w:rsidR="00FF2D2E">
        <w:rPr>
          <w:color w:val="auto"/>
        </w:rPr>
        <w:t xml:space="preserve">for two conferences and the allocation </w:t>
      </w:r>
      <w:r w:rsidR="000A41D3">
        <w:rPr>
          <w:color w:val="auto"/>
        </w:rPr>
        <w:t>is</w:t>
      </w:r>
      <w:r w:rsidR="00FF2D2E">
        <w:rPr>
          <w:color w:val="auto"/>
        </w:rPr>
        <w:t xml:space="preserve"> </w:t>
      </w:r>
      <w:r w:rsidR="002E6982">
        <w:rPr>
          <w:color w:val="auto"/>
        </w:rPr>
        <w:t xml:space="preserve">divided </w:t>
      </w:r>
      <w:r w:rsidR="00FF2D2E">
        <w:rPr>
          <w:color w:val="auto"/>
        </w:rPr>
        <w:t>at $</w:t>
      </w:r>
      <w:r w:rsidR="008A7A44">
        <w:rPr>
          <w:color w:val="auto"/>
        </w:rPr>
        <w:t>8</w:t>
      </w:r>
      <w:r w:rsidR="004E1C73">
        <w:rPr>
          <w:color w:val="auto"/>
        </w:rPr>
        <w:t>00</w:t>
      </w:r>
      <w:r w:rsidR="00FF2D2E">
        <w:rPr>
          <w:color w:val="auto"/>
        </w:rPr>
        <w:t xml:space="preserve"> for each conference)</w:t>
      </w:r>
      <w:r w:rsidR="000D34C1">
        <w:rPr>
          <w:color w:val="auto"/>
        </w:rPr>
        <w:t>.</w:t>
      </w:r>
    </w:p>
    <w:p w:rsidR="00A92978" w:rsidRPr="00A92978" w:rsidRDefault="00A92978" w:rsidP="00A92978">
      <w:pPr>
        <w:pStyle w:val="BodyText2"/>
        <w:numPr>
          <w:ilvl w:val="0"/>
          <w:numId w:val="1"/>
        </w:numPr>
        <w:ind w:left="1080"/>
        <w:jc w:val="left"/>
        <w:rPr>
          <w:b/>
          <w:color w:val="auto"/>
        </w:rPr>
      </w:pPr>
      <w:r w:rsidRPr="00A92978">
        <w:rPr>
          <w:color w:val="auto"/>
        </w:rPr>
        <w:t xml:space="preserve">To qualify for Tier I travel funding, a faculty member must be listed as an author in the event program with Texas State University listed as the affiliated institution, and </w:t>
      </w:r>
      <w:r>
        <w:t>must have published at least one peer-reviewed journal article, book chapter, or book within the preceding 3 years</w:t>
      </w:r>
      <w:r w:rsidR="007350C5">
        <w:t>.</w:t>
      </w:r>
    </w:p>
    <w:p w:rsidR="009306A3" w:rsidRPr="006760DF" w:rsidRDefault="009306A3" w:rsidP="009306A3">
      <w:pPr>
        <w:pStyle w:val="BodyText2"/>
        <w:numPr>
          <w:ilvl w:val="0"/>
          <w:numId w:val="1"/>
        </w:numPr>
        <w:ind w:left="1080"/>
        <w:jc w:val="left"/>
        <w:rPr>
          <w:b/>
          <w:color w:val="auto"/>
        </w:rPr>
      </w:pPr>
      <w:r>
        <w:t xml:space="preserve">All reimbursable travel-related expenses (e.g., transportation, lodging, per </w:t>
      </w:r>
      <w:proofErr w:type="gramStart"/>
      <w:r>
        <w:t>diem</w:t>
      </w:r>
      <w:proofErr w:type="gramEnd"/>
      <w:r>
        <w:t>, registration, printing, abstract fees, etc.) are subject to the limits above.</w:t>
      </w:r>
    </w:p>
    <w:p w:rsidR="009306A3" w:rsidRPr="00A92978" w:rsidRDefault="009306A3" w:rsidP="009306A3">
      <w:pPr>
        <w:pStyle w:val="BodyText2"/>
        <w:numPr>
          <w:ilvl w:val="0"/>
          <w:numId w:val="1"/>
        </w:numPr>
        <w:ind w:left="1080"/>
        <w:jc w:val="left"/>
        <w:rPr>
          <w:b/>
          <w:color w:val="auto"/>
        </w:rPr>
      </w:pPr>
      <w:r>
        <w:t>Reimbursement for travel-related expenses occurs following completion of travel</w:t>
      </w:r>
    </w:p>
    <w:p w:rsidR="00A92978" w:rsidRPr="00A92978" w:rsidRDefault="00106E19" w:rsidP="00A92978">
      <w:pPr>
        <w:pStyle w:val="BodyText2"/>
        <w:numPr>
          <w:ilvl w:val="0"/>
          <w:numId w:val="1"/>
        </w:numPr>
        <w:ind w:left="1080"/>
        <w:jc w:val="left"/>
        <w:rPr>
          <w:b/>
          <w:color w:val="auto"/>
        </w:rPr>
      </w:pPr>
      <w:r>
        <w:rPr>
          <w:color w:val="auto"/>
        </w:rPr>
        <w:t>Travel allocation time frame is based on the University fiscal year – September 1</w:t>
      </w:r>
      <w:r w:rsidRPr="001A6FED">
        <w:rPr>
          <w:color w:val="auto"/>
          <w:vertAlign w:val="superscript"/>
        </w:rPr>
        <w:t>st</w:t>
      </w:r>
      <w:r>
        <w:rPr>
          <w:color w:val="auto"/>
        </w:rPr>
        <w:t xml:space="preserve"> to August 31</w:t>
      </w:r>
      <w:r w:rsidRPr="001A6FED">
        <w:rPr>
          <w:color w:val="auto"/>
          <w:vertAlign w:val="superscript"/>
        </w:rPr>
        <w:t>st</w:t>
      </w:r>
      <w:r>
        <w:rPr>
          <w:color w:val="auto"/>
        </w:rPr>
        <w:t>.</w:t>
      </w:r>
    </w:p>
    <w:p w:rsidR="00A92978" w:rsidRPr="00A92978" w:rsidRDefault="00A92978" w:rsidP="00A92978">
      <w:pPr>
        <w:pStyle w:val="BodyText2"/>
        <w:numPr>
          <w:ilvl w:val="0"/>
          <w:numId w:val="1"/>
        </w:numPr>
        <w:ind w:left="1080"/>
        <w:jc w:val="left"/>
        <w:rPr>
          <w:b/>
          <w:color w:val="auto"/>
        </w:rPr>
      </w:pPr>
      <w:r>
        <w:rPr>
          <w:color w:val="auto"/>
        </w:rPr>
        <w:t xml:space="preserve">The Psychology Department chair </w:t>
      </w:r>
      <w:r w:rsidR="007350C5">
        <w:rPr>
          <w:color w:val="auto"/>
        </w:rPr>
        <w:t>shall notify</w:t>
      </w:r>
      <w:r>
        <w:rPr>
          <w:color w:val="auto"/>
        </w:rPr>
        <w:t xml:space="preserve"> faculty members </w:t>
      </w:r>
      <w:r w:rsidR="007350C5">
        <w:rPr>
          <w:color w:val="auto"/>
        </w:rPr>
        <w:t>if</w:t>
      </w:r>
      <w:r>
        <w:rPr>
          <w:color w:val="auto"/>
        </w:rPr>
        <w:t xml:space="preserve"> deviation from this policy is needed to </w:t>
      </w:r>
      <w:r w:rsidR="007350C5">
        <w:rPr>
          <w:color w:val="auto"/>
        </w:rPr>
        <w:t>address</w:t>
      </w:r>
      <w:r>
        <w:rPr>
          <w:color w:val="auto"/>
        </w:rPr>
        <w:t xml:space="preserve"> unusual budgetary circumstances</w:t>
      </w:r>
      <w:r w:rsidR="007350C5">
        <w:rPr>
          <w:color w:val="auto"/>
        </w:rPr>
        <w:t>.</w:t>
      </w:r>
    </w:p>
    <w:p w:rsidR="00143560" w:rsidRPr="004C3567" w:rsidRDefault="00143560" w:rsidP="00224EED">
      <w:pPr>
        <w:pStyle w:val="BodyText2"/>
        <w:rPr>
          <w:rFonts w:ascii="Times New Roman" w:hAnsi="Times New Roman"/>
          <w:color w:val="auto"/>
          <w:szCs w:val="24"/>
        </w:rPr>
      </w:pPr>
    </w:p>
    <w:sectPr w:rsidR="00143560" w:rsidRPr="004C3567" w:rsidSect="009601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BB" w:rsidRDefault="006D7DBB" w:rsidP="00CC26D7">
      <w:r>
        <w:separator/>
      </w:r>
    </w:p>
  </w:endnote>
  <w:endnote w:type="continuationSeparator" w:id="0">
    <w:p w:rsidR="006D7DBB" w:rsidRDefault="006D7DBB" w:rsidP="00CC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D7" w:rsidRDefault="00CC2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D7" w:rsidRDefault="00CC26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D7" w:rsidRDefault="00CC2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BB" w:rsidRDefault="006D7DBB" w:rsidP="00CC26D7">
      <w:r>
        <w:separator/>
      </w:r>
    </w:p>
  </w:footnote>
  <w:footnote w:type="continuationSeparator" w:id="0">
    <w:p w:rsidR="006D7DBB" w:rsidRDefault="006D7DBB" w:rsidP="00CC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D7" w:rsidRDefault="00CC2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D7" w:rsidRDefault="00CC26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D7" w:rsidRDefault="00CC2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57BD"/>
    <w:multiLevelType w:val="hybridMultilevel"/>
    <w:tmpl w:val="7F7C5C50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C9A6068"/>
    <w:multiLevelType w:val="hybridMultilevel"/>
    <w:tmpl w:val="48E4E9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ED"/>
    <w:rsid w:val="00025C0E"/>
    <w:rsid w:val="00060D44"/>
    <w:rsid w:val="0007528B"/>
    <w:rsid w:val="00087325"/>
    <w:rsid w:val="000A41D3"/>
    <w:rsid w:val="000D34C1"/>
    <w:rsid w:val="000F2438"/>
    <w:rsid w:val="00106E19"/>
    <w:rsid w:val="00136B5A"/>
    <w:rsid w:val="00143560"/>
    <w:rsid w:val="001644A8"/>
    <w:rsid w:val="0017268F"/>
    <w:rsid w:val="001A6FED"/>
    <w:rsid w:val="001D13F4"/>
    <w:rsid w:val="00224EED"/>
    <w:rsid w:val="002B20C1"/>
    <w:rsid w:val="002E6982"/>
    <w:rsid w:val="002F1DA3"/>
    <w:rsid w:val="0044325A"/>
    <w:rsid w:val="00482350"/>
    <w:rsid w:val="004C3567"/>
    <w:rsid w:val="004E1C73"/>
    <w:rsid w:val="005102CA"/>
    <w:rsid w:val="005C564F"/>
    <w:rsid w:val="005E409B"/>
    <w:rsid w:val="006114CB"/>
    <w:rsid w:val="006760DF"/>
    <w:rsid w:val="006C0BC4"/>
    <w:rsid w:val="006D7DBB"/>
    <w:rsid w:val="007350C5"/>
    <w:rsid w:val="00750599"/>
    <w:rsid w:val="00825FAB"/>
    <w:rsid w:val="008945D2"/>
    <w:rsid w:val="008A7A44"/>
    <w:rsid w:val="008C43D0"/>
    <w:rsid w:val="009214E6"/>
    <w:rsid w:val="009306A3"/>
    <w:rsid w:val="00946E24"/>
    <w:rsid w:val="00960129"/>
    <w:rsid w:val="00970EF8"/>
    <w:rsid w:val="0097289B"/>
    <w:rsid w:val="009B2EC8"/>
    <w:rsid w:val="00A261D3"/>
    <w:rsid w:val="00A4173D"/>
    <w:rsid w:val="00A92978"/>
    <w:rsid w:val="00B511B4"/>
    <w:rsid w:val="00C644ED"/>
    <w:rsid w:val="00C8796B"/>
    <w:rsid w:val="00CA4D21"/>
    <w:rsid w:val="00CC26D7"/>
    <w:rsid w:val="00E14169"/>
    <w:rsid w:val="00E76A80"/>
    <w:rsid w:val="00E86F0F"/>
    <w:rsid w:val="00FA2214"/>
    <w:rsid w:val="00FE7B5E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4EED"/>
    <w:pPr>
      <w:tabs>
        <w:tab w:val="right" w:pos="4882"/>
      </w:tabs>
      <w:jc w:val="center"/>
    </w:pPr>
    <w:rPr>
      <w:rFonts w:ascii="Times" w:hAnsi="Times"/>
      <w:b/>
    </w:rPr>
  </w:style>
  <w:style w:type="character" w:customStyle="1" w:styleId="TitleChar">
    <w:name w:val="Title Char"/>
    <w:basedOn w:val="DefaultParagraphFont"/>
    <w:link w:val="Title"/>
    <w:rsid w:val="00224EED"/>
    <w:rPr>
      <w:rFonts w:ascii="Times" w:eastAsia="Times New Roman" w:hAnsi="Times" w:cs="Times New Roman"/>
      <w:b/>
      <w:color w:val="000000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224EED"/>
    <w:pPr>
      <w:tabs>
        <w:tab w:val="left" w:pos="720"/>
      </w:tabs>
      <w:ind w:right="70"/>
      <w:jc w:val="both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224EED"/>
    <w:rPr>
      <w:rFonts w:ascii="Times" w:eastAsia="Times New Roman" w:hAnsi="Times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F2D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99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D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D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gao/ap/trave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ych.txstate.edu/faculty/requests/travel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8477-F8D2-4799-8AFA-FAE5DA5F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2017-09-08T18:22:00Z</dcterms:created>
  <dcterms:modified xsi:type="dcterms:W3CDTF">2017-09-18T16:31:00Z</dcterms:modified>
</cp:coreProperties>
</file>