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10" w:rsidRDefault="003E337C">
      <w:pPr>
        <w:pStyle w:val="Heading1"/>
        <w:spacing w:before="80"/>
        <w:rPr>
          <w:u w:val="none"/>
        </w:rPr>
      </w:pPr>
      <w:bookmarkStart w:id="0" w:name="AUTHOR"/>
      <w:bookmarkEnd w:id="0"/>
      <w:r>
        <w:rPr>
          <w:u w:val="none"/>
        </w:rPr>
        <w:t>AUTHOR</w:t>
      </w:r>
    </w:p>
    <w:p w:rsidR="00E75D10" w:rsidRDefault="00887308">
      <w:pPr>
        <w:pStyle w:val="BodyText"/>
        <w:spacing w:before="2"/>
        <w:ind w:left="740"/>
      </w:pPr>
      <w:r>
        <w:t>Senator Sherman, Alexander – Director of Finance</w:t>
      </w:r>
    </w:p>
    <w:p w:rsidR="00E75D10" w:rsidRDefault="00E75D10">
      <w:pPr>
        <w:pStyle w:val="BodyText"/>
        <w:spacing w:before="5"/>
      </w:pPr>
    </w:p>
    <w:p w:rsidR="00E75D10" w:rsidRDefault="003E337C">
      <w:pPr>
        <w:pStyle w:val="Heading1"/>
        <w:spacing w:before="1" w:line="271" w:lineRule="exact"/>
        <w:rPr>
          <w:u w:val="none"/>
        </w:rPr>
      </w:pPr>
      <w:bookmarkStart w:id="1" w:name="SPONSORS"/>
      <w:bookmarkEnd w:id="1"/>
      <w:r>
        <w:rPr>
          <w:u w:val="none"/>
        </w:rPr>
        <w:t>SPONSORS</w:t>
      </w:r>
    </w:p>
    <w:p w:rsidR="00E75D10" w:rsidRDefault="00887308">
      <w:pPr>
        <w:pStyle w:val="BodyText"/>
        <w:ind w:left="740" w:right="942"/>
      </w:pPr>
      <w:bookmarkStart w:id="2" w:name="Director_of_Student_Services,_Senator,_C"/>
      <w:bookmarkEnd w:id="2"/>
      <w:r>
        <w:t>Senator Cooper, Adrian – Director of Student Services</w:t>
      </w:r>
    </w:p>
    <w:p w:rsidR="00887308" w:rsidRDefault="00887308">
      <w:pPr>
        <w:pStyle w:val="BodyText"/>
        <w:ind w:left="740" w:right="942"/>
      </w:pPr>
      <w:r>
        <w:t>Senator Becerra, Ruben – Director of Governmental Affairs</w:t>
      </w:r>
    </w:p>
    <w:p w:rsidR="00E75D10" w:rsidRDefault="00E75D10">
      <w:pPr>
        <w:pStyle w:val="BodyText"/>
        <w:rPr>
          <w:sz w:val="26"/>
        </w:rPr>
      </w:pPr>
    </w:p>
    <w:p w:rsidR="00E75D10" w:rsidRDefault="00E75D10">
      <w:pPr>
        <w:pStyle w:val="BodyText"/>
        <w:rPr>
          <w:sz w:val="26"/>
        </w:rPr>
      </w:pPr>
    </w:p>
    <w:p w:rsidR="00E75D10" w:rsidRDefault="00E75D10">
      <w:pPr>
        <w:pStyle w:val="BodyText"/>
        <w:rPr>
          <w:sz w:val="26"/>
        </w:rPr>
      </w:pPr>
    </w:p>
    <w:p w:rsidR="00E75D10" w:rsidRDefault="003E337C">
      <w:pPr>
        <w:pStyle w:val="Heading1"/>
        <w:spacing w:before="195"/>
        <w:rPr>
          <w:u w:val="none"/>
        </w:rPr>
      </w:pPr>
      <w:bookmarkStart w:id="3" w:name="S.B.2017-2018.06"/>
      <w:bookmarkEnd w:id="3"/>
      <w:r>
        <w:rPr>
          <w:u w:val="none"/>
        </w:rPr>
        <w:t>S.B.2017-2018.06</w:t>
      </w:r>
    </w:p>
    <w:p w:rsidR="00E75D10" w:rsidRDefault="00E75D10">
      <w:pPr>
        <w:pStyle w:val="BodyText"/>
        <w:rPr>
          <w:b/>
        </w:rPr>
      </w:pPr>
    </w:p>
    <w:p w:rsidR="00E75D10" w:rsidRDefault="003E337C">
      <w:pPr>
        <w:ind w:left="740"/>
        <w:rPr>
          <w:b/>
          <w:sz w:val="24"/>
        </w:rPr>
      </w:pPr>
      <w:r>
        <w:rPr>
          <w:b/>
          <w:sz w:val="24"/>
        </w:rPr>
        <w:t>Date of First Reading: September 11, 2017</w:t>
      </w:r>
    </w:p>
    <w:p w:rsidR="00E75D10" w:rsidRDefault="00E75D10">
      <w:pPr>
        <w:pStyle w:val="BodyText"/>
        <w:spacing w:before="7"/>
        <w:rPr>
          <w:b/>
          <w:sz w:val="23"/>
        </w:rPr>
      </w:pPr>
    </w:p>
    <w:p w:rsidR="00E75D10" w:rsidRDefault="003E337C">
      <w:pPr>
        <w:ind w:left="4797" w:right="4169"/>
        <w:jc w:val="center"/>
        <w:rPr>
          <w:b/>
          <w:sz w:val="24"/>
        </w:rPr>
      </w:pPr>
      <w:r>
        <w:rPr>
          <w:b/>
          <w:sz w:val="24"/>
        </w:rPr>
        <w:t>A Bill –</w:t>
      </w:r>
    </w:p>
    <w:p w:rsidR="00E75D10" w:rsidRDefault="003E337C">
      <w:pPr>
        <w:spacing w:before="2"/>
        <w:ind w:left="740" w:right="101"/>
        <w:jc w:val="both"/>
        <w:rPr>
          <w:b/>
          <w:sz w:val="24"/>
        </w:rPr>
      </w:pPr>
      <w:r>
        <w:rPr>
          <w:b/>
          <w:sz w:val="24"/>
        </w:rPr>
        <w:t>To be entitled the “</w:t>
      </w:r>
      <w:r>
        <w:rPr>
          <w:b/>
          <w:sz w:val="24"/>
          <w:u w:val="thick"/>
        </w:rPr>
        <w:t>Budget Authorization Act of 2017</w:t>
      </w:r>
      <w:r>
        <w:rPr>
          <w:b/>
          <w:sz w:val="24"/>
        </w:rPr>
        <w:t xml:space="preserve">,” which authorizes the Student Government budget for the 2017-2018 academic year in accordance </w:t>
      </w:r>
      <w:r>
        <w:rPr>
          <w:b/>
          <w:spacing w:val="-3"/>
          <w:sz w:val="24"/>
        </w:rPr>
        <w:t>with</w:t>
      </w:r>
      <w:r>
        <w:rPr>
          <w:b/>
          <w:spacing w:val="137"/>
          <w:sz w:val="24"/>
        </w:rPr>
        <w:t xml:space="preserve"> </w:t>
      </w:r>
      <w:r>
        <w:rPr>
          <w:b/>
          <w:sz w:val="24"/>
        </w:rPr>
        <w:t>the Student Government Constitution and Student Gov</w:t>
      </w:r>
      <w:r>
        <w:rPr>
          <w:b/>
          <w:sz w:val="24"/>
        </w:rPr>
        <w:t>ernment Code.</w:t>
      </w:r>
    </w:p>
    <w:p w:rsidR="00E75D10" w:rsidRDefault="00E75D10">
      <w:pPr>
        <w:pStyle w:val="BodyText"/>
        <w:rPr>
          <w:b/>
          <w:sz w:val="20"/>
        </w:rPr>
      </w:pPr>
    </w:p>
    <w:p w:rsidR="00E75D10" w:rsidRDefault="00E75D10">
      <w:pPr>
        <w:pStyle w:val="BodyText"/>
        <w:spacing w:after="1"/>
        <w:rPr>
          <w:b/>
          <w:sz w:val="27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1478"/>
        <w:gridCol w:w="7931"/>
      </w:tblGrid>
      <w:tr w:rsidR="00E75D10">
        <w:trPr>
          <w:trHeight w:val="400"/>
        </w:trPr>
        <w:tc>
          <w:tcPr>
            <w:tcW w:w="343" w:type="dxa"/>
          </w:tcPr>
          <w:p w:rsidR="00E75D10" w:rsidRDefault="003E337C">
            <w:pPr>
              <w:pStyle w:val="TableParagraph"/>
              <w:ind w:left="5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</w:tcPr>
          <w:p w:rsidR="00E75D10" w:rsidRDefault="003E337C">
            <w:pPr>
              <w:pStyle w:val="TableParagraph"/>
              <w:spacing w:before="9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WHEREAS:</w:t>
            </w:r>
          </w:p>
        </w:tc>
        <w:tc>
          <w:tcPr>
            <w:tcW w:w="7931" w:type="dxa"/>
          </w:tcPr>
          <w:p w:rsidR="00E75D10" w:rsidRDefault="003E337C">
            <w:pPr>
              <w:pStyle w:val="TableParagraph"/>
              <w:spacing w:before="9"/>
              <w:ind w:left="144"/>
              <w:rPr>
                <w:sz w:val="24"/>
              </w:rPr>
            </w:pPr>
            <w:r>
              <w:rPr>
                <w:sz w:val="24"/>
              </w:rPr>
              <w:t>The Student Government of Texas State University has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E75D10">
        <w:trPr>
          <w:trHeight w:val="540"/>
        </w:trPr>
        <w:tc>
          <w:tcPr>
            <w:tcW w:w="343" w:type="dxa"/>
          </w:tcPr>
          <w:p w:rsidR="00E75D10" w:rsidRDefault="003E337C">
            <w:pPr>
              <w:pStyle w:val="TableParagraph"/>
              <w:spacing w:before="134"/>
              <w:ind w:left="5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7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1" w:type="dxa"/>
          </w:tcPr>
          <w:p w:rsidR="00E75D10" w:rsidRDefault="003E337C">
            <w:pPr>
              <w:pStyle w:val="TableParagraph"/>
              <w:spacing w:before="144"/>
              <w:ind w:left="144"/>
              <w:rPr>
                <w:sz w:val="24"/>
              </w:rPr>
            </w:pPr>
            <w:r>
              <w:rPr>
                <w:sz w:val="24"/>
              </w:rPr>
              <w:t>responsibility to transparently and</w:t>
            </w:r>
            <w:r>
              <w:rPr>
                <w:spacing w:val="-75"/>
                <w:sz w:val="24"/>
              </w:rPr>
              <w:t xml:space="preserve"> </w:t>
            </w:r>
            <w:r>
              <w:rPr>
                <w:sz w:val="24"/>
              </w:rPr>
              <w:t>democratically</w:t>
            </w:r>
          </w:p>
        </w:tc>
      </w:tr>
      <w:tr w:rsidR="00E75D10">
        <w:trPr>
          <w:trHeight w:val="540"/>
        </w:trPr>
        <w:tc>
          <w:tcPr>
            <w:tcW w:w="343" w:type="dxa"/>
          </w:tcPr>
          <w:p w:rsidR="00E75D10" w:rsidRDefault="003E337C">
            <w:pPr>
              <w:pStyle w:val="TableParagraph"/>
              <w:spacing w:before="129"/>
              <w:ind w:left="5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7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1" w:type="dxa"/>
          </w:tcPr>
          <w:p w:rsidR="00E75D10" w:rsidRDefault="003E337C">
            <w:pPr>
              <w:pStyle w:val="TableParagraph"/>
              <w:spacing w:before="139"/>
              <w:ind w:left="144"/>
              <w:rPr>
                <w:sz w:val="24"/>
              </w:rPr>
            </w:pPr>
            <w:r>
              <w:rPr>
                <w:sz w:val="24"/>
              </w:rPr>
              <w:t>decide how its funds are allocated; and</w:t>
            </w:r>
          </w:p>
        </w:tc>
      </w:tr>
      <w:tr w:rsidR="00E75D10">
        <w:trPr>
          <w:trHeight w:val="540"/>
        </w:trPr>
        <w:tc>
          <w:tcPr>
            <w:tcW w:w="343" w:type="dxa"/>
          </w:tcPr>
          <w:p w:rsidR="00E75D10" w:rsidRDefault="003E337C">
            <w:pPr>
              <w:pStyle w:val="TableParagraph"/>
              <w:spacing w:before="129"/>
              <w:ind w:left="5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78" w:type="dxa"/>
          </w:tcPr>
          <w:p w:rsidR="00E75D10" w:rsidRDefault="003E337C">
            <w:pPr>
              <w:pStyle w:val="TableParagraph"/>
              <w:spacing w:before="139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WHEREAS:</w:t>
            </w:r>
          </w:p>
        </w:tc>
        <w:tc>
          <w:tcPr>
            <w:tcW w:w="7931" w:type="dxa"/>
          </w:tcPr>
          <w:p w:rsidR="00E75D10" w:rsidRDefault="003E337C">
            <w:pPr>
              <w:pStyle w:val="TableParagraph"/>
              <w:spacing w:before="139"/>
              <w:ind w:left="144"/>
              <w:rPr>
                <w:sz w:val="24"/>
              </w:rPr>
            </w:pPr>
            <w:r>
              <w:rPr>
                <w:sz w:val="24"/>
              </w:rPr>
              <w:t>In an effort to provide the best programs and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E75D10">
        <w:trPr>
          <w:trHeight w:val="540"/>
        </w:trPr>
        <w:tc>
          <w:tcPr>
            <w:tcW w:w="343" w:type="dxa"/>
          </w:tcPr>
          <w:p w:rsidR="00E75D10" w:rsidRDefault="003E337C">
            <w:pPr>
              <w:pStyle w:val="TableParagraph"/>
              <w:spacing w:before="134"/>
              <w:ind w:left="5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47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1" w:type="dxa"/>
          </w:tcPr>
          <w:p w:rsidR="00E75D10" w:rsidRDefault="003E337C">
            <w:pPr>
              <w:pStyle w:val="TableParagraph"/>
              <w:spacing w:before="144"/>
              <w:ind w:left="144"/>
              <w:rPr>
                <w:sz w:val="24"/>
              </w:rPr>
            </w:pPr>
            <w:r>
              <w:rPr>
                <w:sz w:val="24"/>
              </w:rPr>
              <w:t>and meet its constitutional requirement to</w:t>
            </w:r>
            <w:r>
              <w:rPr>
                <w:spacing w:val="-7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</w:p>
        </w:tc>
      </w:tr>
      <w:tr w:rsidR="00E75D10">
        <w:trPr>
          <w:trHeight w:val="400"/>
        </w:trPr>
        <w:tc>
          <w:tcPr>
            <w:tcW w:w="343" w:type="dxa"/>
          </w:tcPr>
          <w:p w:rsidR="00E75D10" w:rsidRDefault="003E337C">
            <w:pPr>
              <w:pStyle w:val="TableParagraph"/>
              <w:spacing w:before="131" w:line="262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7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1" w:type="dxa"/>
          </w:tcPr>
          <w:p w:rsidR="00E75D10" w:rsidRDefault="003E337C">
            <w:pPr>
              <w:pStyle w:val="TableParagraph"/>
              <w:spacing w:before="141" w:line="252" w:lineRule="exact"/>
              <w:ind w:left="144"/>
              <w:rPr>
                <w:sz w:val="24"/>
              </w:rPr>
            </w:pPr>
            <w:r>
              <w:rPr>
                <w:sz w:val="24"/>
              </w:rPr>
              <w:t>the students of Texas State University to the best</w:t>
            </w:r>
            <w:r>
              <w:rPr>
                <w:spacing w:val="-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E75D10" w:rsidRDefault="00E75D10">
      <w:pPr>
        <w:pStyle w:val="BodyText"/>
        <w:spacing w:before="5"/>
        <w:rPr>
          <w:b/>
          <w:sz w:val="14"/>
        </w:rPr>
      </w:pPr>
    </w:p>
    <w:p w:rsidR="00E75D10" w:rsidRDefault="003E337C">
      <w:pPr>
        <w:pStyle w:val="ListParagraph"/>
        <w:numPr>
          <w:ilvl w:val="0"/>
          <w:numId w:val="3"/>
        </w:numPr>
        <w:tabs>
          <w:tab w:val="left" w:pos="2180"/>
          <w:tab w:val="left" w:pos="2181"/>
        </w:tabs>
        <w:spacing w:before="100"/>
        <w:rPr>
          <w:sz w:val="24"/>
        </w:rPr>
      </w:pPr>
      <w:r>
        <w:rPr>
          <w:sz w:val="24"/>
        </w:rPr>
        <w:t>their ability, the Student Body President and</w:t>
      </w:r>
      <w:r>
        <w:rPr>
          <w:spacing w:val="-74"/>
          <w:sz w:val="24"/>
        </w:rPr>
        <w:t xml:space="preserve"> </w:t>
      </w:r>
      <w:r>
        <w:rPr>
          <w:sz w:val="24"/>
        </w:rPr>
        <w:t>Finance</w:t>
      </w:r>
    </w:p>
    <w:p w:rsidR="00E75D10" w:rsidRDefault="00E75D10">
      <w:pPr>
        <w:pStyle w:val="BodyText"/>
        <w:spacing w:before="8"/>
        <w:rPr>
          <w:sz w:val="22"/>
        </w:rPr>
      </w:pPr>
    </w:p>
    <w:p w:rsidR="00E75D10" w:rsidRDefault="003E337C">
      <w:pPr>
        <w:pStyle w:val="ListParagraph"/>
        <w:numPr>
          <w:ilvl w:val="0"/>
          <w:numId w:val="3"/>
        </w:numPr>
        <w:tabs>
          <w:tab w:val="left" w:pos="2180"/>
          <w:tab w:val="left" w:pos="2181"/>
        </w:tabs>
        <w:spacing w:before="1"/>
        <w:rPr>
          <w:sz w:val="24"/>
        </w:rPr>
      </w:pPr>
      <w:r>
        <w:rPr>
          <w:sz w:val="24"/>
        </w:rPr>
        <w:t>Director have put together the following</w:t>
      </w:r>
      <w:r>
        <w:rPr>
          <w:spacing w:val="-67"/>
          <w:sz w:val="24"/>
        </w:rPr>
        <w:t xml:space="preserve"> </w:t>
      </w:r>
      <w:r>
        <w:rPr>
          <w:sz w:val="24"/>
        </w:rPr>
        <w:t>budget</w:t>
      </w:r>
    </w:p>
    <w:p w:rsidR="00E75D10" w:rsidRDefault="00E75D10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478"/>
        <w:gridCol w:w="6530"/>
        <w:gridCol w:w="1253"/>
      </w:tblGrid>
      <w:tr w:rsidR="00E75D10">
        <w:trPr>
          <w:trHeight w:val="400"/>
        </w:trPr>
        <w:tc>
          <w:tcPr>
            <w:tcW w:w="453" w:type="dxa"/>
          </w:tcPr>
          <w:p w:rsidR="00E75D10" w:rsidRDefault="003E337C">
            <w:pPr>
              <w:pStyle w:val="TableParagraph"/>
              <w:ind w:right="17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7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0" w:type="dxa"/>
          </w:tcPr>
          <w:p w:rsidR="00E75D10" w:rsidRDefault="003E337C">
            <w:pPr>
              <w:pStyle w:val="TableParagraph"/>
              <w:spacing w:before="9"/>
              <w:ind w:left="144"/>
              <w:rPr>
                <w:sz w:val="24"/>
              </w:rPr>
            </w:pPr>
            <w:r>
              <w:rPr>
                <w:sz w:val="24"/>
              </w:rPr>
              <w:t>proposal; and</w:t>
            </w:r>
          </w:p>
        </w:tc>
        <w:tc>
          <w:tcPr>
            <w:tcW w:w="1253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</w:tr>
      <w:tr w:rsidR="00E75D10">
        <w:trPr>
          <w:trHeight w:val="540"/>
        </w:trPr>
        <w:tc>
          <w:tcPr>
            <w:tcW w:w="453" w:type="dxa"/>
          </w:tcPr>
          <w:p w:rsidR="00E75D10" w:rsidRDefault="003E337C">
            <w:pPr>
              <w:pStyle w:val="TableParagraph"/>
              <w:spacing w:before="127"/>
              <w:ind w:right="18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478" w:type="dxa"/>
          </w:tcPr>
          <w:p w:rsidR="00E75D10" w:rsidRDefault="003E337C">
            <w:pPr>
              <w:pStyle w:val="TableParagraph"/>
              <w:spacing w:before="136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WHEREAS:</w:t>
            </w:r>
          </w:p>
        </w:tc>
        <w:tc>
          <w:tcPr>
            <w:tcW w:w="6530" w:type="dxa"/>
          </w:tcPr>
          <w:p w:rsidR="00E75D10" w:rsidRDefault="003E337C">
            <w:pPr>
              <w:pStyle w:val="TableParagraph"/>
              <w:spacing w:before="136"/>
              <w:ind w:left="144"/>
              <w:rPr>
                <w:sz w:val="24"/>
              </w:rPr>
            </w:pPr>
            <w:r>
              <w:rPr>
                <w:sz w:val="24"/>
              </w:rPr>
              <w:t>This bill has been compiled as prescribed by</w:t>
            </w:r>
          </w:p>
        </w:tc>
        <w:tc>
          <w:tcPr>
            <w:tcW w:w="1253" w:type="dxa"/>
          </w:tcPr>
          <w:p w:rsidR="00E75D10" w:rsidRDefault="003E337C">
            <w:pPr>
              <w:pStyle w:val="TableParagraph"/>
              <w:spacing w:before="136"/>
              <w:ind w:left="61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</w:tr>
      <w:tr w:rsidR="00E75D10">
        <w:trPr>
          <w:trHeight w:val="540"/>
        </w:trPr>
        <w:tc>
          <w:tcPr>
            <w:tcW w:w="453" w:type="dxa"/>
          </w:tcPr>
          <w:p w:rsidR="00E75D10" w:rsidRDefault="003E337C">
            <w:pPr>
              <w:pStyle w:val="TableParagraph"/>
              <w:spacing w:before="136"/>
              <w:ind w:right="18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47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0" w:type="dxa"/>
          </w:tcPr>
          <w:p w:rsidR="00E75D10" w:rsidRDefault="003E337C">
            <w:pPr>
              <w:pStyle w:val="TableParagraph"/>
              <w:spacing w:before="146"/>
              <w:ind w:left="144"/>
              <w:rPr>
                <w:sz w:val="24"/>
              </w:rPr>
            </w:pPr>
            <w:r>
              <w:rPr>
                <w:sz w:val="24"/>
              </w:rPr>
              <w:t>Student Government Constitution Article III,</w:t>
            </w:r>
          </w:p>
        </w:tc>
        <w:tc>
          <w:tcPr>
            <w:tcW w:w="1253" w:type="dxa"/>
          </w:tcPr>
          <w:p w:rsidR="00E75D10" w:rsidRDefault="003E337C">
            <w:pPr>
              <w:pStyle w:val="TableParagraph"/>
              <w:spacing w:before="146"/>
              <w:ind w:left="56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</w:tr>
      <w:tr w:rsidR="00E75D10">
        <w:trPr>
          <w:trHeight w:val="540"/>
        </w:trPr>
        <w:tc>
          <w:tcPr>
            <w:tcW w:w="453" w:type="dxa"/>
          </w:tcPr>
          <w:p w:rsidR="00E75D10" w:rsidRDefault="003E337C">
            <w:pPr>
              <w:pStyle w:val="TableParagraph"/>
              <w:spacing w:before="129"/>
              <w:ind w:right="18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47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0" w:type="dxa"/>
          </w:tcPr>
          <w:p w:rsidR="00E75D10" w:rsidRDefault="003E337C">
            <w:pPr>
              <w:pStyle w:val="TableParagraph"/>
              <w:spacing w:before="139"/>
              <w:ind w:left="144"/>
              <w:rPr>
                <w:sz w:val="24"/>
              </w:rPr>
            </w:pPr>
            <w:r>
              <w:rPr>
                <w:sz w:val="24"/>
              </w:rPr>
              <w:t>10(c) and in compliance with the regulations</w:t>
            </w:r>
          </w:p>
        </w:tc>
        <w:tc>
          <w:tcPr>
            <w:tcW w:w="1253" w:type="dxa"/>
          </w:tcPr>
          <w:p w:rsidR="00E75D10" w:rsidRDefault="003E337C">
            <w:pPr>
              <w:pStyle w:val="TableParagraph"/>
              <w:spacing w:before="139"/>
              <w:ind w:left="88"/>
              <w:rPr>
                <w:sz w:val="24"/>
              </w:rPr>
            </w:pPr>
            <w:r>
              <w:rPr>
                <w:sz w:val="24"/>
              </w:rPr>
              <w:t>found in</w:t>
            </w:r>
          </w:p>
        </w:tc>
      </w:tr>
      <w:tr w:rsidR="00E75D10">
        <w:trPr>
          <w:trHeight w:val="400"/>
        </w:trPr>
        <w:tc>
          <w:tcPr>
            <w:tcW w:w="453" w:type="dxa"/>
          </w:tcPr>
          <w:p w:rsidR="00E75D10" w:rsidRDefault="003E337C">
            <w:pPr>
              <w:pStyle w:val="TableParagraph"/>
              <w:spacing w:before="132" w:line="262" w:lineRule="exact"/>
              <w:ind w:right="18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47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0" w:type="dxa"/>
          </w:tcPr>
          <w:p w:rsidR="00E75D10" w:rsidRDefault="003E337C">
            <w:pPr>
              <w:pStyle w:val="TableParagraph"/>
              <w:spacing w:before="141" w:line="252" w:lineRule="exact"/>
              <w:ind w:left="144"/>
              <w:rPr>
                <w:sz w:val="24"/>
              </w:rPr>
            </w:pPr>
            <w:r>
              <w:rPr>
                <w:sz w:val="24"/>
              </w:rPr>
              <w:t>S.G.C. VIII. §100.4; therefore</w:t>
            </w:r>
          </w:p>
        </w:tc>
        <w:tc>
          <w:tcPr>
            <w:tcW w:w="1253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</w:tr>
    </w:tbl>
    <w:p w:rsidR="00E75D10" w:rsidRDefault="00E75D10">
      <w:pPr>
        <w:rPr>
          <w:rFonts w:ascii="Times New Roman"/>
        </w:rPr>
        <w:sectPr w:rsidR="00E75D10">
          <w:footerReference w:type="default" r:id="rId7"/>
          <w:type w:val="continuous"/>
          <w:pgSz w:w="12240" w:h="15840"/>
          <w:pgMar w:top="1280" w:right="1500" w:bottom="1180" w:left="580" w:header="720" w:footer="989" w:gutter="0"/>
          <w:pgNumType w:start="1"/>
          <w:cols w:space="720"/>
        </w:sectPr>
      </w:pPr>
    </w:p>
    <w:p w:rsidR="00E75D10" w:rsidRDefault="003E337C">
      <w:pPr>
        <w:pStyle w:val="ListParagraph"/>
        <w:numPr>
          <w:ilvl w:val="0"/>
          <w:numId w:val="2"/>
        </w:numPr>
        <w:tabs>
          <w:tab w:val="left" w:pos="900"/>
          <w:tab w:val="left" w:pos="901"/>
          <w:tab w:val="left" w:pos="3211"/>
        </w:tabs>
        <w:spacing w:before="71"/>
        <w:rPr>
          <w:sz w:val="24"/>
        </w:rPr>
      </w:pPr>
      <w:r>
        <w:rPr>
          <w:b/>
          <w:sz w:val="24"/>
        </w:rPr>
        <w:lastRenderedPageBreak/>
        <w:t>BE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ENACTED:</w:t>
      </w:r>
      <w:r>
        <w:rPr>
          <w:b/>
          <w:sz w:val="24"/>
        </w:rPr>
        <w:tab/>
      </w:r>
      <w:r>
        <w:rPr>
          <w:sz w:val="24"/>
        </w:rPr>
        <w:t>That S.G.C. Title VIII. §101 –</w:t>
      </w:r>
      <w:r>
        <w:rPr>
          <w:spacing w:val="-50"/>
          <w:sz w:val="24"/>
        </w:rPr>
        <w:t xml:space="preserve"> </w:t>
      </w:r>
      <w:r>
        <w:rPr>
          <w:sz w:val="24"/>
        </w:rPr>
        <w:t>“Budget</w:t>
      </w:r>
    </w:p>
    <w:p w:rsidR="00E75D10" w:rsidRDefault="00E75D10">
      <w:pPr>
        <w:pStyle w:val="BodyText"/>
        <w:spacing w:before="7"/>
        <w:rPr>
          <w:sz w:val="23"/>
        </w:rPr>
      </w:pPr>
    </w:p>
    <w:p w:rsidR="00E75D10" w:rsidRDefault="003E337C">
      <w:pPr>
        <w:pStyle w:val="ListParagraph"/>
        <w:numPr>
          <w:ilvl w:val="0"/>
          <w:numId w:val="2"/>
        </w:numPr>
        <w:tabs>
          <w:tab w:val="left" w:pos="3211"/>
          <w:tab w:val="left" w:pos="3212"/>
        </w:tabs>
        <w:spacing w:before="0"/>
        <w:ind w:left="3211" w:hanging="2896"/>
        <w:rPr>
          <w:sz w:val="24"/>
        </w:rPr>
      </w:pPr>
      <w:r>
        <w:rPr>
          <w:sz w:val="24"/>
        </w:rPr>
        <w:t>Authorization Act of 2016” be amended as</w:t>
      </w:r>
      <w:r>
        <w:rPr>
          <w:spacing w:val="-59"/>
          <w:sz w:val="24"/>
        </w:rPr>
        <w:t xml:space="preserve"> </w:t>
      </w:r>
      <w:r>
        <w:rPr>
          <w:sz w:val="24"/>
        </w:rPr>
        <w:t>shown:</w:t>
      </w:r>
    </w:p>
    <w:p w:rsidR="00E75D10" w:rsidRDefault="00E75D10">
      <w:pPr>
        <w:pStyle w:val="BodyText"/>
        <w:spacing w:before="3"/>
        <w:rPr>
          <w:sz w:val="22"/>
        </w:rPr>
      </w:pPr>
    </w:p>
    <w:p w:rsidR="00E75D10" w:rsidRDefault="003E337C">
      <w:pPr>
        <w:pStyle w:val="Heading1"/>
        <w:numPr>
          <w:ilvl w:val="0"/>
          <w:numId w:val="2"/>
        </w:numPr>
        <w:tabs>
          <w:tab w:val="left" w:pos="3986"/>
          <w:tab w:val="left" w:pos="3987"/>
        </w:tabs>
        <w:spacing w:before="1"/>
        <w:ind w:left="3987" w:hanging="3672"/>
        <w:rPr>
          <w:u w:val="none"/>
        </w:rPr>
      </w:pPr>
      <w:bookmarkStart w:id="4" w:name="16_TITLE_VIII_–_THE_BUDGET"/>
      <w:bookmarkEnd w:id="4"/>
      <w:r>
        <w:rPr>
          <w:color w:val="211F1F"/>
          <w:u w:val="none"/>
        </w:rPr>
        <w:t>TITLE VIII – THE</w:t>
      </w:r>
      <w:r>
        <w:rPr>
          <w:color w:val="211F1F"/>
          <w:spacing w:val="-27"/>
          <w:u w:val="none"/>
        </w:rPr>
        <w:t xml:space="preserve"> </w:t>
      </w:r>
      <w:r>
        <w:rPr>
          <w:color w:val="211F1F"/>
          <w:u w:val="none"/>
        </w:rPr>
        <w:t>BUDGET</w:t>
      </w:r>
    </w:p>
    <w:p w:rsidR="00E75D10" w:rsidRDefault="00E75D10">
      <w:pPr>
        <w:pStyle w:val="BodyText"/>
        <w:rPr>
          <w:b/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708"/>
        <w:gridCol w:w="8725"/>
      </w:tblGrid>
      <w:tr w:rsidR="00E75D10">
        <w:trPr>
          <w:trHeight w:val="380"/>
        </w:trPr>
        <w:tc>
          <w:tcPr>
            <w:tcW w:w="660" w:type="dxa"/>
          </w:tcPr>
          <w:p w:rsidR="00E75D10" w:rsidRDefault="003E337C">
            <w:pPr>
              <w:pStyle w:val="TableParagraph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70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ind w:left="717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CHAPTER 101 - BUDGET AUTHORIZATION ACT OF 2017</w:t>
            </w:r>
          </w:p>
        </w:tc>
      </w:tr>
      <w:tr w:rsidR="00E75D10">
        <w:trPr>
          <w:trHeight w:val="500"/>
        </w:trPr>
        <w:tc>
          <w:tcPr>
            <w:tcW w:w="660" w:type="dxa"/>
          </w:tcPr>
          <w:p w:rsidR="00E75D10" w:rsidRDefault="003E337C">
            <w:pPr>
              <w:pStyle w:val="TableParagraph"/>
              <w:spacing w:before="109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70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tabs>
                <w:tab w:val="left" w:pos="3919"/>
              </w:tabs>
              <w:spacing w:before="119"/>
              <w:ind w:left="2168"/>
              <w:rPr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ARTICLE</w:t>
            </w:r>
            <w:r>
              <w:rPr>
                <w:b/>
                <w:color w:val="211F1F"/>
                <w:spacing w:val="-8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I.</w:t>
            </w:r>
            <w:r>
              <w:rPr>
                <w:b/>
                <w:color w:val="211F1F"/>
                <w:sz w:val="24"/>
              </w:rPr>
              <w:tab/>
              <w:t>ADMINISTRATIVE</w:t>
            </w:r>
          </w:p>
        </w:tc>
      </w:tr>
      <w:tr w:rsidR="00E75D10">
        <w:trPr>
          <w:trHeight w:val="440"/>
        </w:trPr>
        <w:tc>
          <w:tcPr>
            <w:tcW w:w="660" w:type="dxa"/>
          </w:tcPr>
          <w:p w:rsidR="00E75D10" w:rsidRDefault="003E337C">
            <w:pPr>
              <w:pStyle w:val="TableParagraph"/>
              <w:spacing w:before="109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708" w:type="dxa"/>
          </w:tcPr>
          <w:p w:rsidR="00E75D10" w:rsidRDefault="003E337C">
            <w:pPr>
              <w:pStyle w:val="TableParagraph"/>
              <w:spacing w:before="124"/>
              <w:ind w:right="175"/>
              <w:jc w:val="right"/>
              <w:rPr>
                <w:sz w:val="24"/>
              </w:rPr>
            </w:pPr>
            <w:r>
              <w:rPr>
                <w:color w:val="211F1F"/>
                <w:sz w:val="24"/>
              </w:rPr>
              <w:t>§1</w:t>
            </w: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spacing w:before="124"/>
              <w:ind w:left="177"/>
              <w:rPr>
                <w:sz w:val="24"/>
              </w:rPr>
            </w:pPr>
            <w:r>
              <w:rPr>
                <w:b/>
                <w:color w:val="211F1F"/>
                <w:sz w:val="24"/>
              </w:rPr>
              <w:t xml:space="preserve">MEETING AND PURPOSE. </w:t>
            </w:r>
            <w:r>
              <w:rPr>
                <w:color w:val="211F1F"/>
                <w:sz w:val="24"/>
              </w:rPr>
              <w:t>In order to provide oversight of</w:t>
            </w:r>
          </w:p>
        </w:tc>
      </w:tr>
      <w:tr w:rsidR="00E75D10">
        <w:trPr>
          <w:trHeight w:val="400"/>
        </w:trPr>
        <w:tc>
          <w:tcPr>
            <w:tcW w:w="660" w:type="dxa"/>
          </w:tcPr>
          <w:p w:rsidR="00E75D10" w:rsidRDefault="003E337C">
            <w:pPr>
              <w:pStyle w:val="TableParagraph"/>
              <w:spacing w:before="61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0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spacing w:before="76"/>
              <w:ind w:left="177"/>
              <w:rPr>
                <w:sz w:val="24"/>
              </w:rPr>
            </w:pPr>
            <w:r>
              <w:rPr>
                <w:color w:val="211F1F"/>
                <w:sz w:val="24"/>
              </w:rPr>
              <w:t>the budget and expenditures, The Finance Commission</w:t>
            </w:r>
          </w:p>
        </w:tc>
      </w:tr>
      <w:tr w:rsidR="00E75D10">
        <w:trPr>
          <w:trHeight w:val="400"/>
        </w:trPr>
        <w:tc>
          <w:tcPr>
            <w:tcW w:w="660" w:type="dxa"/>
          </w:tcPr>
          <w:p w:rsidR="00E75D10" w:rsidRDefault="003E337C">
            <w:pPr>
              <w:pStyle w:val="TableParagraph"/>
              <w:spacing w:before="54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70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spacing w:before="69"/>
              <w:ind w:left="177"/>
              <w:rPr>
                <w:sz w:val="24"/>
              </w:rPr>
            </w:pPr>
            <w:r>
              <w:rPr>
                <w:color w:val="211F1F"/>
                <w:sz w:val="24"/>
              </w:rPr>
              <w:t>shall meet every week, starting the last week of August</w:t>
            </w:r>
          </w:p>
        </w:tc>
      </w:tr>
      <w:tr w:rsidR="00E75D10">
        <w:trPr>
          <w:trHeight w:val="380"/>
        </w:trPr>
        <w:tc>
          <w:tcPr>
            <w:tcW w:w="660" w:type="dxa"/>
          </w:tcPr>
          <w:p w:rsidR="00E75D10" w:rsidRDefault="003E337C">
            <w:pPr>
              <w:pStyle w:val="TableParagraph"/>
              <w:spacing w:before="59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70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spacing w:before="69"/>
              <w:ind w:left="177"/>
              <w:rPr>
                <w:sz w:val="24"/>
              </w:rPr>
            </w:pPr>
            <w:r>
              <w:rPr>
                <w:color w:val="211F1F"/>
                <w:sz w:val="24"/>
              </w:rPr>
              <w:t>and while the Senate is in session, with the exception</w:t>
            </w:r>
          </w:p>
        </w:tc>
      </w:tr>
      <w:tr w:rsidR="00E75D10">
        <w:trPr>
          <w:trHeight w:val="400"/>
        </w:trPr>
        <w:tc>
          <w:tcPr>
            <w:tcW w:w="660" w:type="dxa"/>
          </w:tcPr>
          <w:p w:rsidR="00E75D10" w:rsidRDefault="003E337C">
            <w:pPr>
              <w:pStyle w:val="TableParagraph"/>
              <w:spacing w:before="57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70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spacing w:before="71"/>
              <w:ind w:left="177"/>
              <w:rPr>
                <w:sz w:val="24"/>
              </w:rPr>
            </w:pPr>
            <w:r>
              <w:rPr>
                <w:color w:val="211F1F"/>
                <w:sz w:val="24"/>
              </w:rPr>
              <w:t>of holidays.</w:t>
            </w:r>
          </w:p>
        </w:tc>
      </w:tr>
      <w:tr w:rsidR="00E75D10">
        <w:trPr>
          <w:trHeight w:val="400"/>
        </w:trPr>
        <w:tc>
          <w:tcPr>
            <w:tcW w:w="660" w:type="dxa"/>
          </w:tcPr>
          <w:p w:rsidR="00E75D10" w:rsidRDefault="003E337C">
            <w:pPr>
              <w:pStyle w:val="TableParagraph"/>
              <w:spacing w:before="56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708" w:type="dxa"/>
          </w:tcPr>
          <w:p w:rsidR="00E75D10" w:rsidRDefault="003E337C">
            <w:pPr>
              <w:pStyle w:val="TableParagraph"/>
              <w:spacing w:before="66"/>
              <w:ind w:right="175"/>
              <w:jc w:val="right"/>
              <w:rPr>
                <w:sz w:val="24"/>
              </w:rPr>
            </w:pPr>
            <w:r>
              <w:rPr>
                <w:color w:val="211F1F"/>
                <w:sz w:val="24"/>
              </w:rPr>
              <w:t>§2</w:t>
            </w: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spacing w:before="66"/>
              <w:ind w:left="177"/>
              <w:rPr>
                <w:sz w:val="24"/>
              </w:rPr>
            </w:pPr>
            <w:r>
              <w:rPr>
                <w:b/>
                <w:color w:val="211F1F"/>
                <w:sz w:val="24"/>
              </w:rPr>
              <w:t xml:space="preserve">PRESIDENTIAL REPORTING. </w:t>
            </w:r>
            <w:r>
              <w:rPr>
                <w:color w:val="211F1F"/>
                <w:sz w:val="24"/>
              </w:rPr>
              <w:t>The President, Director of Finance</w:t>
            </w:r>
          </w:p>
        </w:tc>
      </w:tr>
      <w:tr w:rsidR="00E75D10">
        <w:trPr>
          <w:trHeight w:val="340"/>
        </w:trPr>
        <w:tc>
          <w:tcPr>
            <w:tcW w:w="660" w:type="dxa"/>
          </w:tcPr>
          <w:p w:rsidR="00E75D10" w:rsidRDefault="003E337C">
            <w:pPr>
              <w:pStyle w:val="TableParagraph"/>
              <w:spacing w:before="61" w:line="262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08" w:type="dxa"/>
          </w:tcPr>
          <w:p w:rsidR="00E75D10" w:rsidRDefault="00E75D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:rsidR="00E75D10" w:rsidRDefault="003E337C">
            <w:pPr>
              <w:pStyle w:val="TableParagraph"/>
              <w:spacing w:before="71" w:line="252" w:lineRule="exact"/>
              <w:ind w:left="177"/>
              <w:rPr>
                <w:sz w:val="24"/>
              </w:rPr>
            </w:pPr>
            <w:r>
              <w:rPr>
                <w:color w:val="211F1F"/>
                <w:sz w:val="24"/>
              </w:rPr>
              <w:t>or a designee shall provide the commission with</w:t>
            </w:r>
          </w:p>
        </w:tc>
      </w:tr>
    </w:tbl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sz w:val="24"/>
        </w:rPr>
      </w:pPr>
      <w:r>
        <w:rPr>
          <w:color w:val="211F1F"/>
          <w:sz w:val="24"/>
        </w:rPr>
        <w:t xml:space="preserve">documentation of expenditures and </w:t>
      </w:r>
      <w:r>
        <w:rPr>
          <w:color w:val="211F1F"/>
          <w:spacing w:val="-5"/>
          <w:sz w:val="24"/>
        </w:rPr>
        <w:t xml:space="preserve">issue </w:t>
      </w:r>
      <w:r>
        <w:rPr>
          <w:color w:val="211F1F"/>
          <w:sz w:val="24"/>
        </w:rPr>
        <w:t>a report on</w:t>
      </w:r>
      <w:r>
        <w:rPr>
          <w:color w:val="211F1F"/>
          <w:spacing w:val="-39"/>
          <w:sz w:val="24"/>
        </w:rPr>
        <w:t xml:space="preserve"> </w:t>
      </w:r>
      <w:r>
        <w:rPr>
          <w:color w:val="211F1F"/>
          <w:sz w:val="24"/>
        </w:rPr>
        <w:t>the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8"/>
        <w:rPr>
          <w:sz w:val="24"/>
        </w:rPr>
      </w:pPr>
      <w:r>
        <w:rPr>
          <w:color w:val="211F1F"/>
          <w:sz w:val="24"/>
        </w:rPr>
        <w:t xml:space="preserve">state </w:t>
      </w:r>
      <w:r>
        <w:rPr>
          <w:color w:val="211F1F"/>
          <w:spacing w:val="-3"/>
          <w:sz w:val="24"/>
        </w:rPr>
        <w:t xml:space="preserve">of </w:t>
      </w:r>
      <w:r>
        <w:rPr>
          <w:color w:val="211F1F"/>
          <w:sz w:val="24"/>
        </w:rPr>
        <w:t xml:space="preserve">the budget including but not </w:t>
      </w:r>
      <w:r>
        <w:rPr>
          <w:color w:val="211F1F"/>
          <w:spacing w:val="-5"/>
          <w:sz w:val="24"/>
        </w:rPr>
        <w:t xml:space="preserve">limited </w:t>
      </w:r>
      <w:r>
        <w:rPr>
          <w:color w:val="211F1F"/>
          <w:sz w:val="24"/>
        </w:rPr>
        <w:t>to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current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sz w:val="24"/>
        </w:rPr>
      </w:pPr>
      <w:r>
        <w:rPr>
          <w:color w:val="211F1F"/>
          <w:sz w:val="24"/>
        </w:rPr>
        <w:t xml:space="preserve">expenditures from each category and line item </w:t>
      </w:r>
      <w:r>
        <w:rPr>
          <w:color w:val="211F1F"/>
          <w:spacing w:val="-3"/>
          <w:sz w:val="24"/>
        </w:rPr>
        <w:t>at</w:t>
      </w:r>
      <w:r>
        <w:rPr>
          <w:color w:val="211F1F"/>
          <w:spacing w:val="-41"/>
          <w:sz w:val="24"/>
        </w:rPr>
        <w:t xml:space="preserve"> </w:t>
      </w:r>
      <w:r>
        <w:rPr>
          <w:color w:val="211F1F"/>
          <w:sz w:val="24"/>
        </w:rPr>
        <w:t>each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8"/>
        <w:rPr>
          <w:sz w:val="24"/>
        </w:rPr>
      </w:pPr>
      <w:r>
        <w:rPr>
          <w:color w:val="211F1F"/>
          <w:sz w:val="24"/>
        </w:rPr>
        <w:t>meeting of the</w:t>
      </w:r>
      <w:r>
        <w:rPr>
          <w:color w:val="211F1F"/>
          <w:spacing w:val="-38"/>
          <w:sz w:val="24"/>
        </w:rPr>
        <w:t xml:space="preserve"> </w:t>
      </w:r>
      <w:r>
        <w:rPr>
          <w:color w:val="211F1F"/>
          <w:sz w:val="24"/>
        </w:rPr>
        <w:t>commission.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015"/>
          <w:tab w:val="left" w:pos="1016"/>
          <w:tab w:val="left" w:pos="1660"/>
        </w:tabs>
        <w:spacing w:before="128"/>
        <w:ind w:left="1015" w:hanging="700"/>
        <w:rPr>
          <w:sz w:val="24"/>
        </w:rPr>
      </w:pPr>
      <w:r>
        <w:rPr>
          <w:color w:val="211F1F"/>
          <w:sz w:val="24"/>
        </w:rPr>
        <w:t>§3</w:t>
      </w:r>
      <w:r>
        <w:rPr>
          <w:color w:val="211F1F"/>
          <w:sz w:val="24"/>
        </w:rPr>
        <w:tab/>
      </w:r>
      <w:r>
        <w:rPr>
          <w:b/>
          <w:color w:val="211F1F"/>
          <w:sz w:val="24"/>
        </w:rPr>
        <w:t xml:space="preserve">PRESIDENTIAL POWERS. </w:t>
      </w:r>
      <w:r>
        <w:rPr>
          <w:color w:val="211F1F"/>
          <w:sz w:val="24"/>
        </w:rPr>
        <w:t>The President shall have the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power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9"/>
        <w:rPr>
          <w:sz w:val="24"/>
        </w:rPr>
      </w:pPr>
      <w:r>
        <w:rPr>
          <w:color w:val="211F1F"/>
          <w:sz w:val="24"/>
        </w:rPr>
        <w:t>to reallocate remaining funds from each category and</w:t>
      </w:r>
      <w:r>
        <w:rPr>
          <w:color w:val="211F1F"/>
          <w:spacing w:val="-66"/>
          <w:sz w:val="24"/>
        </w:rPr>
        <w:t xml:space="preserve"> </w:t>
      </w:r>
      <w:r>
        <w:rPr>
          <w:color w:val="211F1F"/>
          <w:spacing w:val="-5"/>
          <w:sz w:val="24"/>
        </w:rPr>
        <w:t>line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sz w:val="24"/>
        </w:rPr>
      </w:pPr>
      <w:r>
        <w:rPr>
          <w:color w:val="211F1F"/>
          <w:sz w:val="24"/>
        </w:rPr>
        <w:t>item should the activity funded be completed</w:t>
      </w:r>
      <w:r>
        <w:rPr>
          <w:color w:val="211F1F"/>
          <w:spacing w:val="20"/>
          <w:sz w:val="24"/>
        </w:rPr>
        <w:t xml:space="preserve"> </w:t>
      </w:r>
      <w:r>
        <w:rPr>
          <w:color w:val="211F1F"/>
          <w:sz w:val="24"/>
        </w:rPr>
        <w:t>or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8"/>
        <w:rPr>
          <w:sz w:val="24"/>
        </w:rPr>
      </w:pPr>
      <w:r>
        <w:rPr>
          <w:color w:val="211F1F"/>
          <w:sz w:val="24"/>
        </w:rPr>
        <w:t>invalidated, with any such changes reported to</w:t>
      </w:r>
      <w:r>
        <w:rPr>
          <w:color w:val="211F1F"/>
          <w:spacing w:val="-19"/>
          <w:sz w:val="24"/>
        </w:rPr>
        <w:t xml:space="preserve"> </w:t>
      </w:r>
      <w:r>
        <w:rPr>
          <w:color w:val="211F1F"/>
          <w:sz w:val="24"/>
        </w:rPr>
        <w:t>the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sz w:val="24"/>
        </w:rPr>
      </w:pPr>
      <w:r>
        <w:rPr>
          <w:color w:val="211F1F"/>
          <w:sz w:val="24"/>
        </w:rPr>
        <w:t xml:space="preserve">Finance Commission at </w:t>
      </w:r>
      <w:r>
        <w:rPr>
          <w:color w:val="211F1F"/>
          <w:spacing w:val="-4"/>
          <w:sz w:val="24"/>
        </w:rPr>
        <w:t xml:space="preserve">its </w:t>
      </w:r>
      <w:r>
        <w:rPr>
          <w:color w:val="211F1F"/>
          <w:sz w:val="24"/>
        </w:rPr>
        <w:t>next regularly</w:t>
      </w:r>
      <w:r>
        <w:rPr>
          <w:color w:val="211F1F"/>
          <w:spacing w:val="-27"/>
          <w:sz w:val="24"/>
        </w:rPr>
        <w:t xml:space="preserve"> </w:t>
      </w:r>
      <w:r>
        <w:rPr>
          <w:color w:val="211F1F"/>
          <w:sz w:val="24"/>
        </w:rPr>
        <w:t>scheduled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sz w:val="24"/>
        </w:rPr>
      </w:pPr>
      <w:r>
        <w:rPr>
          <w:color w:val="211F1F"/>
          <w:spacing w:val="-4"/>
          <w:sz w:val="24"/>
        </w:rPr>
        <w:t>meeting.</w:t>
      </w:r>
    </w:p>
    <w:p w:rsidR="00E75D10" w:rsidRDefault="003E337C">
      <w:pPr>
        <w:pStyle w:val="Heading1"/>
        <w:numPr>
          <w:ilvl w:val="0"/>
          <w:numId w:val="1"/>
        </w:numPr>
        <w:tabs>
          <w:tab w:val="left" w:pos="3821"/>
          <w:tab w:val="left" w:pos="3822"/>
          <w:tab w:val="left" w:pos="5717"/>
        </w:tabs>
        <w:spacing w:before="133" w:line="281" w:lineRule="exact"/>
        <w:ind w:left="3821" w:hanging="3506"/>
        <w:rPr>
          <w:u w:val="none"/>
        </w:rPr>
      </w:pPr>
      <w:bookmarkStart w:id="5" w:name="36_ARTICLE_II._AUTHORIZATION"/>
      <w:bookmarkEnd w:id="5"/>
      <w:r>
        <w:rPr>
          <w:color w:val="211F1F"/>
          <w:u w:val="none"/>
        </w:rPr>
        <w:t>ARTICLE</w:t>
      </w:r>
      <w:r>
        <w:rPr>
          <w:color w:val="211F1F"/>
          <w:spacing w:val="-11"/>
          <w:u w:val="none"/>
        </w:rPr>
        <w:t xml:space="preserve"> </w:t>
      </w:r>
      <w:r>
        <w:rPr>
          <w:color w:val="211F1F"/>
          <w:u w:val="none"/>
        </w:rPr>
        <w:t>II.</w:t>
      </w:r>
      <w:r>
        <w:rPr>
          <w:color w:val="211F1F"/>
          <w:u w:val="none"/>
        </w:rPr>
        <w:tab/>
        <w:t>AUTHORIZATION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015"/>
          <w:tab w:val="left" w:pos="1016"/>
          <w:tab w:val="left" w:pos="1660"/>
        </w:tabs>
        <w:spacing w:before="0" w:line="281" w:lineRule="exact"/>
        <w:ind w:left="1015" w:hanging="700"/>
        <w:rPr>
          <w:sz w:val="24"/>
        </w:rPr>
      </w:pPr>
      <w:r>
        <w:rPr>
          <w:color w:val="211F1F"/>
          <w:sz w:val="24"/>
        </w:rPr>
        <w:t>§1</w:t>
      </w:r>
      <w:r>
        <w:rPr>
          <w:color w:val="211F1F"/>
          <w:sz w:val="24"/>
        </w:rPr>
        <w:tab/>
      </w:r>
      <w:r>
        <w:rPr>
          <w:b/>
          <w:color w:val="211F1F"/>
          <w:sz w:val="24"/>
        </w:rPr>
        <w:t xml:space="preserve">DEFINITION AND ORGANIZATION. </w:t>
      </w:r>
      <w:r>
        <w:rPr>
          <w:color w:val="211F1F"/>
          <w:sz w:val="24"/>
        </w:rPr>
        <w:t xml:space="preserve">Where each word </w:t>
      </w:r>
      <w:r>
        <w:rPr>
          <w:color w:val="211F1F"/>
          <w:spacing w:val="-3"/>
          <w:sz w:val="24"/>
        </w:rPr>
        <w:t xml:space="preserve">is </w:t>
      </w:r>
      <w:r>
        <w:rPr>
          <w:color w:val="211F1F"/>
          <w:sz w:val="24"/>
        </w:rPr>
        <w:t>bolded</w:t>
      </w:r>
      <w:r>
        <w:rPr>
          <w:color w:val="211F1F"/>
          <w:spacing w:val="-47"/>
          <w:sz w:val="24"/>
        </w:rPr>
        <w:t xml:space="preserve"> </w:t>
      </w:r>
      <w:r>
        <w:rPr>
          <w:color w:val="211F1F"/>
          <w:spacing w:val="-5"/>
          <w:sz w:val="24"/>
        </w:rPr>
        <w:t>it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13"/>
        <w:rPr>
          <w:sz w:val="24"/>
        </w:rPr>
      </w:pPr>
      <w:r>
        <w:rPr>
          <w:color w:val="211F1F"/>
          <w:sz w:val="24"/>
        </w:rPr>
        <w:t xml:space="preserve">shall </w:t>
      </w:r>
      <w:r>
        <w:rPr>
          <w:color w:val="211F1F"/>
          <w:spacing w:val="-3"/>
          <w:sz w:val="24"/>
        </w:rPr>
        <w:t xml:space="preserve">be </w:t>
      </w:r>
      <w:r>
        <w:rPr>
          <w:color w:val="211F1F"/>
          <w:sz w:val="24"/>
        </w:rPr>
        <w:t>considered a category of the budget and</w:t>
      </w:r>
      <w:r>
        <w:rPr>
          <w:color w:val="211F1F"/>
          <w:spacing w:val="-65"/>
          <w:sz w:val="24"/>
        </w:rPr>
        <w:t xml:space="preserve"> </w:t>
      </w:r>
      <w:r>
        <w:rPr>
          <w:color w:val="211F1F"/>
          <w:sz w:val="24"/>
        </w:rPr>
        <w:t>where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8"/>
        <w:rPr>
          <w:sz w:val="24"/>
        </w:rPr>
      </w:pPr>
      <w:r>
        <w:rPr>
          <w:color w:val="211F1F"/>
          <w:sz w:val="24"/>
        </w:rPr>
        <w:t xml:space="preserve">each word </w:t>
      </w:r>
      <w:r>
        <w:rPr>
          <w:color w:val="211F1F"/>
          <w:spacing w:val="-3"/>
          <w:sz w:val="24"/>
        </w:rPr>
        <w:t xml:space="preserve">is </w:t>
      </w:r>
      <w:r>
        <w:rPr>
          <w:color w:val="211F1F"/>
          <w:sz w:val="24"/>
        </w:rPr>
        <w:t xml:space="preserve">indented </w:t>
      </w:r>
      <w:r>
        <w:rPr>
          <w:color w:val="211F1F"/>
          <w:spacing w:val="-5"/>
          <w:sz w:val="24"/>
        </w:rPr>
        <w:t xml:space="preserve">it </w:t>
      </w:r>
      <w:r>
        <w:rPr>
          <w:color w:val="211F1F"/>
          <w:sz w:val="24"/>
        </w:rPr>
        <w:t xml:space="preserve">shall be considered a </w:t>
      </w:r>
      <w:r>
        <w:rPr>
          <w:color w:val="211F1F"/>
          <w:spacing w:val="-4"/>
          <w:sz w:val="24"/>
        </w:rPr>
        <w:t>line</w:t>
      </w:r>
      <w:r>
        <w:rPr>
          <w:color w:val="211F1F"/>
          <w:spacing w:val="-22"/>
          <w:sz w:val="24"/>
        </w:rPr>
        <w:t xml:space="preserve"> </w:t>
      </w:r>
      <w:r>
        <w:rPr>
          <w:color w:val="211F1F"/>
          <w:sz w:val="24"/>
        </w:rPr>
        <w:t>item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sz w:val="24"/>
        </w:rPr>
      </w:pPr>
      <w:r>
        <w:rPr>
          <w:color w:val="211F1F"/>
          <w:sz w:val="24"/>
        </w:rPr>
        <w:t xml:space="preserve">of the budget and where each word </w:t>
      </w:r>
      <w:r>
        <w:rPr>
          <w:color w:val="211F1F"/>
          <w:spacing w:val="-3"/>
          <w:sz w:val="24"/>
        </w:rPr>
        <w:t xml:space="preserve">is </w:t>
      </w:r>
      <w:r>
        <w:rPr>
          <w:color w:val="211F1F"/>
          <w:sz w:val="24"/>
        </w:rPr>
        <w:t xml:space="preserve">followed </w:t>
      </w:r>
      <w:r>
        <w:rPr>
          <w:color w:val="211F1F"/>
          <w:spacing w:val="-3"/>
          <w:sz w:val="24"/>
        </w:rPr>
        <w:t>by</w:t>
      </w:r>
      <w:r>
        <w:rPr>
          <w:color w:val="211F1F"/>
          <w:spacing w:val="-71"/>
          <w:sz w:val="24"/>
        </w:rPr>
        <w:t xml:space="preserve"> </w:t>
      </w:r>
      <w:r>
        <w:rPr>
          <w:color w:val="211F1F"/>
          <w:sz w:val="24"/>
        </w:rPr>
        <w:t>an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rPr>
          <w:sz w:val="24"/>
        </w:rPr>
      </w:pPr>
      <w:r>
        <w:rPr>
          <w:color w:val="211F1F"/>
          <w:sz w:val="24"/>
        </w:rPr>
        <w:t xml:space="preserve">asterisk </w:t>
      </w:r>
      <w:r>
        <w:rPr>
          <w:color w:val="211F1F"/>
          <w:spacing w:val="2"/>
          <w:sz w:val="24"/>
        </w:rPr>
        <w:t xml:space="preserve">shall </w:t>
      </w:r>
      <w:r>
        <w:rPr>
          <w:color w:val="211F1F"/>
          <w:sz w:val="24"/>
        </w:rPr>
        <w:t>denote a mandatory expense category.</w:t>
      </w:r>
      <w:r>
        <w:rPr>
          <w:color w:val="211F1F"/>
          <w:spacing w:val="-36"/>
          <w:sz w:val="24"/>
        </w:rPr>
        <w:t xml:space="preserve"> </w:t>
      </w:r>
      <w:r>
        <w:rPr>
          <w:color w:val="211F1F"/>
          <w:sz w:val="24"/>
        </w:rPr>
        <w:t>That</w:t>
      </w:r>
    </w:p>
    <w:p w:rsidR="00E75D10" w:rsidRDefault="003E337C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28"/>
        <w:rPr>
          <w:sz w:val="24"/>
        </w:rPr>
      </w:pPr>
      <w:r>
        <w:rPr>
          <w:color w:val="211F1F"/>
          <w:sz w:val="24"/>
        </w:rPr>
        <w:t xml:space="preserve">the Student Government budget </w:t>
      </w:r>
      <w:r>
        <w:rPr>
          <w:color w:val="211F1F"/>
          <w:spacing w:val="-5"/>
          <w:sz w:val="24"/>
        </w:rPr>
        <w:t xml:space="preserve">authorized </w:t>
      </w:r>
      <w:r>
        <w:rPr>
          <w:color w:val="211F1F"/>
          <w:sz w:val="24"/>
        </w:rPr>
        <w:t xml:space="preserve">as </w:t>
      </w:r>
      <w:r>
        <w:rPr>
          <w:color w:val="211F1F"/>
          <w:sz w:val="24"/>
        </w:rPr>
        <w:t>seen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pacing w:val="-5"/>
          <w:sz w:val="24"/>
        </w:rPr>
        <w:t>below:</w:t>
      </w:r>
    </w:p>
    <w:p w:rsidR="00E75D10" w:rsidRDefault="00E75D10">
      <w:pPr>
        <w:rPr>
          <w:sz w:val="24"/>
        </w:rPr>
        <w:sectPr w:rsidR="00E75D10">
          <w:pgSz w:w="12240" w:h="15840"/>
          <w:pgMar w:top="1280" w:right="1500" w:bottom="1240" w:left="420" w:header="0" w:footer="989" w:gutter="0"/>
          <w:cols w:space="720"/>
        </w:sectPr>
      </w:pPr>
    </w:p>
    <w:p w:rsidR="00E75D10" w:rsidRDefault="00E75D10">
      <w:pPr>
        <w:pStyle w:val="BodyText"/>
        <w:rPr>
          <w:rFonts w:ascii="Times New Roman"/>
          <w:sz w:val="20"/>
        </w:rPr>
      </w:pPr>
    </w:p>
    <w:p w:rsidR="00E75D10" w:rsidRDefault="00E75D10"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232"/>
      </w:tblGrid>
      <w:tr w:rsidR="00E75D10">
        <w:trPr>
          <w:trHeight w:val="300"/>
        </w:trPr>
        <w:tc>
          <w:tcPr>
            <w:tcW w:w="8055" w:type="dxa"/>
            <w:gridSpan w:val="2"/>
            <w:tcBorders>
              <w:right w:val="nil"/>
            </w:tcBorders>
          </w:tcPr>
          <w:p w:rsidR="00E75D10" w:rsidRDefault="003E337C">
            <w:pPr>
              <w:pStyle w:val="TableParagraph"/>
              <w:spacing w:before="41" w:line="256" w:lineRule="exact"/>
              <w:ind w:left="4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Operations*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President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989"/>
              </w:tabs>
              <w:spacing w:before="42" w:line="256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11,556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Vice President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8,148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Chief of Staff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4,568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Office Supplies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2" w:line="256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1,600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Reservations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1,100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7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Copy Services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496"/>
              </w:tabs>
              <w:spacing w:before="42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700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Retreats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2" w:line="256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2,000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Phone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496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950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Board of Regents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2" w:line="256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1,500</w:t>
            </w:r>
          </w:p>
        </w:tc>
      </w:tr>
      <w:tr w:rsidR="00E75D10">
        <w:trPr>
          <w:trHeight w:val="300"/>
        </w:trPr>
        <w:tc>
          <w:tcPr>
            <w:tcW w:w="8055" w:type="dxa"/>
            <w:gridSpan w:val="2"/>
            <w:tcBorders>
              <w:right w:val="nil"/>
            </w:tcBorders>
          </w:tcPr>
          <w:p w:rsidR="00E75D10" w:rsidRDefault="003E337C">
            <w:pPr>
              <w:pStyle w:val="TableParagraph"/>
              <w:spacing w:before="42" w:line="256" w:lineRule="exact"/>
              <w:ind w:left="4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Programs*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Programs and Marketing Commission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1,300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Student Services Commission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2" w:line="256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1,305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Finance Commission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496"/>
              </w:tabs>
              <w:spacing w:before="42" w:line="256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-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Government Affairs Commission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496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-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Freshman Council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1,800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173"/>
              <w:rPr>
                <w:sz w:val="24"/>
              </w:rPr>
            </w:pPr>
            <w:r>
              <w:rPr>
                <w:w w:val="110"/>
                <w:sz w:val="24"/>
              </w:rPr>
              <w:t>Roundtable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496"/>
              </w:tabs>
              <w:spacing w:before="42" w:line="256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450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4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(THE COURTS)*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496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-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7" w:lineRule="exact"/>
              <w:ind w:left="4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(THE HOUSE)*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2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1,500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4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(DISCRETIONARY)*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1166"/>
              </w:tabs>
              <w:spacing w:before="42" w:line="256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6,558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1" w:line="257" w:lineRule="exact"/>
              <w:ind w:left="4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S.T.A.R. Grant*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989"/>
              </w:tabs>
              <w:spacing w:before="41" w:line="257" w:lineRule="exact"/>
              <w:ind w:left="194"/>
              <w:rPr>
                <w:sz w:val="24"/>
              </w:rPr>
            </w:pPr>
            <w:r>
              <w:rPr>
                <w:w w:val="110"/>
                <w:sz w:val="24"/>
              </w:rPr>
              <w:t>$</w:t>
            </w:r>
            <w:r>
              <w:rPr>
                <w:w w:val="110"/>
                <w:sz w:val="24"/>
              </w:rPr>
              <w:tab/>
              <w:t>35,000</w:t>
            </w:r>
          </w:p>
        </w:tc>
      </w:tr>
      <w:tr w:rsidR="00E75D10">
        <w:trPr>
          <w:trHeight w:val="300"/>
        </w:trPr>
        <w:tc>
          <w:tcPr>
            <w:tcW w:w="5823" w:type="dxa"/>
          </w:tcPr>
          <w:p w:rsidR="00E75D10" w:rsidRDefault="003E337C">
            <w:pPr>
              <w:pStyle w:val="TableParagraph"/>
              <w:spacing w:before="42" w:line="256" w:lineRule="exact"/>
              <w:ind w:left="17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TOTAL</w:t>
            </w:r>
          </w:p>
        </w:tc>
        <w:tc>
          <w:tcPr>
            <w:tcW w:w="2232" w:type="dxa"/>
            <w:tcBorders>
              <w:right w:val="nil"/>
            </w:tcBorders>
          </w:tcPr>
          <w:p w:rsidR="00E75D10" w:rsidRDefault="003E337C">
            <w:pPr>
              <w:pStyle w:val="TableParagraph"/>
              <w:tabs>
                <w:tab w:val="left" w:pos="989"/>
              </w:tabs>
              <w:spacing w:before="42" w:line="256" w:lineRule="exact"/>
              <w:ind w:left="19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$</w:t>
            </w:r>
            <w:r>
              <w:rPr>
                <w:b/>
                <w:w w:val="110"/>
                <w:sz w:val="24"/>
              </w:rPr>
              <w:tab/>
              <w:t>80,035</w:t>
            </w:r>
          </w:p>
        </w:tc>
      </w:tr>
    </w:tbl>
    <w:p w:rsidR="00E75D10" w:rsidRDefault="00E75D10">
      <w:pPr>
        <w:pStyle w:val="BodyText"/>
        <w:rPr>
          <w:rFonts w:ascii="Times New Roman"/>
          <w:sz w:val="3"/>
        </w:rPr>
      </w:pPr>
    </w:p>
    <w:p w:rsidR="005F613A" w:rsidRDefault="005F613A" w:rsidP="005F613A">
      <w:pPr>
        <w:pStyle w:val="BodyText"/>
        <w:spacing w:before="189" w:line="482" w:lineRule="auto"/>
        <w:ind w:left="1540" w:hanging="1440"/>
        <w:rPr>
          <w:b/>
        </w:rPr>
      </w:pPr>
    </w:p>
    <w:p w:rsidR="005F613A" w:rsidRDefault="005F613A" w:rsidP="005F613A">
      <w:pPr>
        <w:pStyle w:val="BodyText"/>
        <w:spacing w:before="189" w:line="482" w:lineRule="auto"/>
        <w:ind w:left="1540" w:hanging="1440"/>
      </w:pPr>
      <w:r>
        <w:rPr>
          <w:b/>
        </w:rPr>
        <w:t xml:space="preserve">BE IT FURTHER RESOLVED: </w:t>
      </w:r>
      <w:r>
        <w:t xml:space="preserve">That if passed, this </w:t>
      </w:r>
      <w:r>
        <w:t>bill</w:t>
      </w:r>
      <w:r>
        <w:rPr>
          <w:spacing w:val="-52"/>
        </w:rPr>
        <w:t xml:space="preserve"> </w:t>
      </w:r>
      <w:r>
        <w:t>be</w:t>
      </w:r>
    </w:p>
    <w:p w:rsidR="005F613A" w:rsidRDefault="005F613A" w:rsidP="005F613A">
      <w:pPr>
        <w:pStyle w:val="BodyText"/>
        <w:spacing w:before="189" w:line="482" w:lineRule="auto"/>
        <w:ind w:left="1540" w:hanging="1440"/>
      </w:pPr>
      <w:r>
        <w:t>forwarded to President Connor Clegg for further action.</w:t>
      </w:r>
      <w:bookmarkStart w:id="6" w:name="_GoBack"/>
      <w:bookmarkEnd w:id="6"/>
    </w:p>
    <w:p w:rsidR="00E75D10" w:rsidRDefault="00E75D10">
      <w:pPr>
        <w:pStyle w:val="BodyText"/>
        <w:spacing w:line="30" w:lineRule="exact"/>
        <w:ind w:left="105"/>
        <w:rPr>
          <w:rFonts w:ascii="Times New Roman"/>
          <w:sz w:val="3"/>
        </w:rPr>
      </w:pPr>
    </w:p>
    <w:sectPr w:rsidR="00E75D10">
      <w:pgSz w:w="12240" w:h="15840"/>
      <w:pgMar w:top="1500" w:right="1720" w:bottom="1180" w:left="17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7C" w:rsidRDefault="003E337C">
      <w:r>
        <w:separator/>
      </w:r>
    </w:p>
  </w:endnote>
  <w:endnote w:type="continuationSeparator" w:id="0">
    <w:p w:rsidR="003E337C" w:rsidRDefault="003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10" w:rsidRDefault="003E33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5pt;margin-top:728.55pt;width:10pt;height:15.3pt;z-index:-251658752;mso-position-horizontal-relative:page;mso-position-vertical-relative:page" filled="f" stroked="f">
          <v:textbox inset="0,0,0,0">
            <w:txbxContent>
              <w:p w:rsidR="00E75D10" w:rsidRDefault="003E337C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11F1F"/>
                  </w:rPr>
                  <w:instrText xml:space="preserve"> PAGE </w:instrText>
                </w:r>
                <w:r>
                  <w:fldChar w:fldCharType="separate"/>
                </w:r>
                <w:r w:rsidR="005F613A">
                  <w:rPr>
                    <w:rFonts w:ascii="Times New Roman"/>
                    <w:noProof/>
                    <w:color w:val="211F1F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7C" w:rsidRDefault="003E337C">
      <w:r>
        <w:separator/>
      </w:r>
    </w:p>
  </w:footnote>
  <w:footnote w:type="continuationSeparator" w:id="0">
    <w:p w:rsidR="003E337C" w:rsidRDefault="003E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6F43"/>
    <w:multiLevelType w:val="hybridMultilevel"/>
    <w:tmpl w:val="3688616C"/>
    <w:lvl w:ilvl="0" w:tplc="E0C21322">
      <w:start w:val="14"/>
      <w:numFmt w:val="decimal"/>
      <w:lvlText w:val="%1"/>
      <w:lvlJc w:val="left"/>
      <w:pPr>
        <w:ind w:left="900" w:hanging="585"/>
        <w:jc w:val="left"/>
      </w:pPr>
      <w:rPr>
        <w:rFonts w:ascii="Calibri" w:eastAsia="Calibri" w:hAnsi="Calibri" w:cs="Calibri" w:hint="default"/>
        <w:spacing w:val="-28"/>
        <w:w w:val="100"/>
        <w:sz w:val="22"/>
        <w:szCs w:val="22"/>
      </w:rPr>
    </w:lvl>
    <w:lvl w:ilvl="1" w:tplc="4010F0F4">
      <w:numFmt w:val="bullet"/>
      <w:lvlText w:val="•"/>
      <w:lvlJc w:val="left"/>
      <w:pPr>
        <w:ind w:left="1842" w:hanging="585"/>
      </w:pPr>
      <w:rPr>
        <w:rFonts w:hint="default"/>
      </w:rPr>
    </w:lvl>
    <w:lvl w:ilvl="2" w:tplc="68E21AB6">
      <w:numFmt w:val="bullet"/>
      <w:lvlText w:val="•"/>
      <w:lvlJc w:val="left"/>
      <w:pPr>
        <w:ind w:left="2784" w:hanging="585"/>
      </w:pPr>
      <w:rPr>
        <w:rFonts w:hint="default"/>
      </w:rPr>
    </w:lvl>
    <w:lvl w:ilvl="3" w:tplc="0E16CE5C">
      <w:numFmt w:val="bullet"/>
      <w:lvlText w:val="•"/>
      <w:lvlJc w:val="left"/>
      <w:pPr>
        <w:ind w:left="3726" w:hanging="585"/>
      </w:pPr>
      <w:rPr>
        <w:rFonts w:hint="default"/>
      </w:rPr>
    </w:lvl>
    <w:lvl w:ilvl="4" w:tplc="30360EFC">
      <w:numFmt w:val="bullet"/>
      <w:lvlText w:val="•"/>
      <w:lvlJc w:val="left"/>
      <w:pPr>
        <w:ind w:left="4668" w:hanging="585"/>
      </w:pPr>
      <w:rPr>
        <w:rFonts w:hint="default"/>
      </w:rPr>
    </w:lvl>
    <w:lvl w:ilvl="5" w:tplc="27228F06">
      <w:numFmt w:val="bullet"/>
      <w:lvlText w:val="•"/>
      <w:lvlJc w:val="left"/>
      <w:pPr>
        <w:ind w:left="5610" w:hanging="585"/>
      </w:pPr>
      <w:rPr>
        <w:rFonts w:hint="default"/>
      </w:rPr>
    </w:lvl>
    <w:lvl w:ilvl="6" w:tplc="7B7E3688">
      <w:numFmt w:val="bullet"/>
      <w:lvlText w:val="•"/>
      <w:lvlJc w:val="left"/>
      <w:pPr>
        <w:ind w:left="6552" w:hanging="585"/>
      </w:pPr>
      <w:rPr>
        <w:rFonts w:hint="default"/>
      </w:rPr>
    </w:lvl>
    <w:lvl w:ilvl="7" w:tplc="6C5A37FC">
      <w:numFmt w:val="bullet"/>
      <w:lvlText w:val="•"/>
      <w:lvlJc w:val="left"/>
      <w:pPr>
        <w:ind w:left="7494" w:hanging="585"/>
      </w:pPr>
      <w:rPr>
        <w:rFonts w:hint="default"/>
      </w:rPr>
    </w:lvl>
    <w:lvl w:ilvl="8" w:tplc="23026F34">
      <w:numFmt w:val="bullet"/>
      <w:lvlText w:val="•"/>
      <w:lvlJc w:val="left"/>
      <w:pPr>
        <w:ind w:left="8436" w:hanging="585"/>
      </w:pPr>
      <w:rPr>
        <w:rFonts w:hint="default"/>
      </w:rPr>
    </w:lvl>
  </w:abstractNum>
  <w:abstractNum w:abstractNumId="1" w15:restartNumberingAfterBreak="0">
    <w:nsid w:val="59351A69"/>
    <w:multiLevelType w:val="hybridMultilevel"/>
    <w:tmpl w:val="A8929526"/>
    <w:lvl w:ilvl="0" w:tplc="677442AA">
      <w:start w:val="7"/>
      <w:numFmt w:val="decimal"/>
      <w:lvlText w:val="%1"/>
      <w:lvlJc w:val="left"/>
      <w:pPr>
        <w:ind w:left="2181" w:hanging="1916"/>
        <w:jc w:val="left"/>
      </w:pPr>
      <w:rPr>
        <w:rFonts w:ascii="Calibri" w:eastAsia="Calibri" w:hAnsi="Calibri" w:cs="Calibri" w:hint="default"/>
        <w:spacing w:val="-30"/>
        <w:w w:val="100"/>
        <w:sz w:val="22"/>
        <w:szCs w:val="22"/>
      </w:rPr>
    </w:lvl>
    <w:lvl w:ilvl="1" w:tplc="C21430DC">
      <w:numFmt w:val="bullet"/>
      <w:lvlText w:val="•"/>
      <w:lvlJc w:val="left"/>
      <w:pPr>
        <w:ind w:left="2978" w:hanging="1916"/>
      </w:pPr>
      <w:rPr>
        <w:rFonts w:hint="default"/>
      </w:rPr>
    </w:lvl>
    <w:lvl w:ilvl="2" w:tplc="E9EA61BA">
      <w:numFmt w:val="bullet"/>
      <w:lvlText w:val="•"/>
      <w:lvlJc w:val="left"/>
      <w:pPr>
        <w:ind w:left="3776" w:hanging="1916"/>
      </w:pPr>
      <w:rPr>
        <w:rFonts w:hint="default"/>
      </w:rPr>
    </w:lvl>
    <w:lvl w:ilvl="3" w:tplc="B45CC7B6">
      <w:numFmt w:val="bullet"/>
      <w:lvlText w:val="•"/>
      <w:lvlJc w:val="left"/>
      <w:pPr>
        <w:ind w:left="4574" w:hanging="1916"/>
      </w:pPr>
      <w:rPr>
        <w:rFonts w:hint="default"/>
      </w:rPr>
    </w:lvl>
    <w:lvl w:ilvl="4" w:tplc="4E82698E">
      <w:numFmt w:val="bullet"/>
      <w:lvlText w:val="•"/>
      <w:lvlJc w:val="left"/>
      <w:pPr>
        <w:ind w:left="5372" w:hanging="1916"/>
      </w:pPr>
      <w:rPr>
        <w:rFonts w:hint="default"/>
      </w:rPr>
    </w:lvl>
    <w:lvl w:ilvl="5" w:tplc="09A8F37E">
      <w:numFmt w:val="bullet"/>
      <w:lvlText w:val="•"/>
      <w:lvlJc w:val="left"/>
      <w:pPr>
        <w:ind w:left="6170" w:hanging="1916"/>
      </w:pPr>
      <w:rPr>
        <w:rFonts w:hint="default"/>
      </w:rPr>
    </w:lvl>
    <w:lvl w:ilvl="6" w:tplc="AF5E3D52">
      <w:numFmt w:val="bullet"/>
      <w:lvlText w:val="•"/>
      <w:lvlJc w:val="left"/>
      <w:pPr>
        <w:ind w:left="6968" w:hanging="1916"/>
      </w:pPr>
      <w:rPr>
        <w:rFonts w:hint="default"/>
      </w:rPr>
    </w:lvl>
    <w:lvl w:ilvl="7" w:tplc="FAC26C04">
      <w:numFmt w:val="bullet"/>
      <w:lvlText w:val="•"/>
      <w:lvlJc w:val="left"/>
      <w:pPr>
        <w:ind w:left="7766" w:hanging="1916"/>
      </w:pPr>
      <w:rPr>
        <w:rFonts w:hint="default"/>
      </w:rPr>
    </w:lvl>
    <w:lvl w:ilvl="8" w:tplc="415486A2">
      <w:numFmt w:val="bullet"/>
      <w:lvlText w:val="•"/>
      <w:lvlJc w:val="left"/>
      <w:pPr>
        <w:ind w:left="8564" w:hanging="1916"/>
      </w:pPr>
      <w:rPr>
        <w:rFonts w:hint="default"/>
      </w:rPr>
    </w:lvl>
  </w:abstractNum>
  <w:abstractNum w:abstractNumId="2" w15:restartNumberingAfterBreak="0">
    <w:nsid w:val="5D721AC1"/>
    <w:multiLevelType w:val="hybridMultilevel"/>
    <w:tmpl w:val="453806D2"/>
    <w:lvl w:ilvl="0" w:tplc="EF563E76">
      <w:start w:val="26"/>
      <w:numFmt w:val="decimal"/>
      <w:lvlText w:val="%1"/>
      <w:lvlJc w:val="left"/>
      <w:pPr>
        <w:ind w:left="1661" w:hanging="1346"/>
        <w:jc w:val="left"/>
      </w:pPr>
      <w:rPr>
        <w:rFonts w:ascii="Calibri" w:eastAsia="Calibri" w:hAnsi="Calibri" w:cs="Calibri" w:hint="default"/>
        <w:spacing w:val="-22"/>
        <w:w w:val="100"/>
        <w:sz w:val="22"/>
        <w:szCs w:val="22"/>
      </w:rPr>
    </w:lvl>
    <w:lvl w:ilvl="1" w:tplc="8F8EA888">
      <w:numFmt w:val="bullet"/>
      <w:lvlText w:val="•"/>
      <w:lvlJc w:val="left"/>
      <w:pPr>
        <w:ind w:left="2526" w:hanging="1346"/>
      </w:pPr>
      <w:rPr>
        <w:rFonts w:hint="default"/>
      </w:rPr>
    </w:lvl>
    <w:lvl w:ilvl="2" w:tplc="142887EA">
      <w:numFmt w:val="bullet"/>
      <w:lvlText w:val="•"/>
      <w:lvlJc w:val="left"/>
      <w:pPr>
        <w:ind w:left="3392" w:hanging="1346"/>
      </w:pPr>
      <w:rPr>
        <w:rFonts w:hint="default"/>
      </w:rPr>
    </w:lvl>
    <w:lvl w:ilvl="3" w:tplc="ACDCEF06">
      <w:numFmt w:val="bullet"/>
      <w:lvlText w:val="•"/>
      <w:lvlJc w:val="left"/>
      <w:pPr>
        <w:ind w:left="4258" w:hanging="1346"/>
      </w:pPr>
      <w:rPr>
        <w:rFonts w:hint="default"/>
      </w:rPr>
    </w:lvl>
    <w:lvl w:ilvl="4" w:tplc="5A9A624E">
      <w:numFmt w:val="bullet"/>
      <w:lvlText w:val="•"/>
      <w:lvlJc w:val="left"/>
      <w:pPr>
        <w:ind w:left="5124" w:hanging="1346"/>
      </w:pPr>
      <w:rPr>
        <w:rFonts w:hint="default"/>
      </w:rPr>
    </w:lvl>
    <w:lvl w:ilvl="5" w:tplc="ABCADA88">
      <w:numFmt w:val="bullet"/>
      <w:lvlText w:val="•"/>
      <w:lvlJc w:val="left"/>
      <w:pPr>
        <w:ind w:left="5990" w:hanging="1346"/>
      </w:pPr>
      <w:rPr>
        <w:rFonts w:hint="default"/>
      </w:rPr>
    </w:lvl>
    <w:lvl w:ilvl="6" w:tplc="16261A02">
      <w:numFmt w:val="bullet"/>
      <w:lvlText w:val="•"/>
      <w:lvlJc w:val="left"/>
      <w:pPr>
        <w:ind w:left="6856" w:hanging="1346"/>
      </w:pPr>
      <w:rPr>
        <w:rFonts w:hint="default"/>
      </w:rPr>
    </w:lvl>
    <w:lvl w:ilvl="7" w:tplc="1F3243C0">
      <w:numFmt w:val="bullet"/>
      <w:lvlText w:val="•"/>
      <w:lvlJc w:val="left"/>
      <w:pPr>
        <w:ind w:left="7722" w:hanging="1346"/>
      </w:pPr>
      <w:rPr>
        <w:rFonts w:hint="default"/>
      </w:rPr>
    </w:lvl>
    <w:lvl w:ilvl="8" w:tplc="74F68BF4">
      <w:numFmt w:val="bullet"/>
      <w:lvlText w:val="•"/>
      <w:lvlJc w:val="left"/>
      <w:pPr>
        <w:ind w:left="8588" w:hanging="13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D10"/>
    <w:rsid w:val="003E337C"/>
    <w:rsid w:val="005F613A"/>
    <w:rsid w:val="00887308"/>
    <w:rsid w:val="00E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9D2D87"/>
  <w15:docId w15:val="{AC5C6C9F-97AF-48D6-A73B-424DD1FF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7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3"/>
      <w:ind w:left="1661" w:hanging="13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2728</Characters>
  <Application>Microsoft Office Word</Application>
  <DocSecurity>0</DocSecurity>
  <Lines>22</Lines>
  <Paragraphs>6</Paragraphs>
  <ScaleCrop>false</ScaleCrop>
  <Company>Texas State University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Alexander A</dc:creator>
  <cp:lastModifiedBy>Clegg, Connor H</cp:lastModifiedBy>
  <cp:revision>3</cp:revision>
  <dcterms:created xsi:type="dcterms:W3CDTF">2017-09-07T01:46:00Z</dcterms:created>
  <dcterms:modified xsi:type="dcterms:W3CDTF">2017-09-07T07:01:00Z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2017-09-07T00:00:00Z</vt:filetime>
  </property>
</Properties>
</file>