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6E62B78D" w:rsidR="002827E5" w:rsidRDefault="000F6BB6" w:rsidP="000B5EE6">
      <w:pPr>
        <w:pStyle w:val="Heading2"/>
        <w:spacing w:before="0" w:line="240" w:lineRule="auto"/>
        <w:ind w:left="360" w:right="180"/>
      </w:pPr>
      <w:r w:rsidRPr="000F6BB6">
        <w:t xml:space="preserve">Major in </w:t>
      </w:r>
      <w:r w:rsidR="00697044">
        <w:t>Communication Studies</w:t>
      </w:r>
    </w:p>
    <w:p w14:paraId="576B6108" w14:textId="6C906D2E"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920E28">
        <w:t xml:space="preserve">Degree </w:t>
      </w:r>
      <w:r w:rsidRPr="000F6BB6">
        <w:t>(B</w:t>
      </w:r>
      <w:r w:rsidR="00E139B3">
        <w:t>A</w:t>
      </w:r>
      <w:r w:rsidRPr="000F6BB6">
        <w:t xml:space="preserve">) </w:t>
      </w:r>
    </w:p>
    <w:p w14:paraId="1271F32E" w14:textId="6E9A678D" w:rsidR="00B16860" w:rsidRPr="000F6BB6" w:rsidRDefault="000F6BB6" w:rsidP="00FA3CAC">
      <w:pPr>
        <w:pStyle w:val="Heading2"/>
        <w:spacing w:before="0" w:line="240" w:lineRule="auto"/>
        <w:ind w:left="360" w:right="180"/>
      </w:pPr>
      <w:r w:rsidRPr="000F6BB6">
        <w:t>1</w:t>
      </w:r>
      <w:r w:rsidR="00B15D7D">
        <w:t>2</w:t>
      </w:r>
      <w:r w:rsidR="00697044">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7BB969FB"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w:t>
      </w:r>
      <w:r w:rsidR="00E139B3">
        <w:rPr>
          <w:rFonts w:asciiTheme="majorHAnsi" w:hAnsiTheme="majorHAnsi"/>
          <w:sz w:val="21"/>
          <w:szCs w:val="21"/>
        </w:rPr>
        <w:t>A</w:t>
      </w:r>
      <w:r w:rsidR="003012EC" w:rsidRPr="00DA074D">
        <w:rPr>
          <w:rFonts w:asciiTheme="majorHAnsi" w:hAnsiTheme="majorHAnsi"/>
          <w:sz w:val="21"/>
          <w:szCs w:val="21"/>
        </w:rPr>
        <w:t xml:space="preserve"> in </w:t>
      </w:r>
      <w:r w:rsidR="004F7C81">
        <w:rPr>
          <w:rFonts w:asciiTheme="majorHAnsi" w:hAnsiTheme="majorHAnsi"/>
          <w:sz w:val="21"/>
          <w:szCs w:val="21"/>
        </w:rPr>
        <w:t>COMMUNICATION STUDIES</w:t>
      </w:r>
    </w:p>
    <w:p w14:paraId="3F43EFA8" w14:textId="77777777" w:rsidR="00B16860" w:rsidRPr="00DA074D" w:rsidRDefault="00B16860" w:rsidP="00FA3CAC">
      <w:pPr>
        <w:pStyle w:val="BodyText"/>
        <w:ind w:left="360" w:right="180"/>
        <w:rPr>
          <w:rFonts w:asciiTheme="majorHAnsi" w:hAnsiTheme="majorHAnsi"/>
          <w:b/>
        </w:rPr>
      </w:pPr>
    </w:p>
    <w:p w14:paraId="2C4DD141" w14:textId="1F01E329"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w:t>
      </w:r>
      <w:r w:rsidR="00756DA5">
        <w:rPr>
          <w:rFonts w:asciiTheme="majorHAnsi" w:hAnsiTheme="majorHAnsi"/>
        </w:rPr>
        <w:t>A</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33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52"/>
        <w:gridCol w:w="4410"/>
      </w:tblGrid>
      <w:tr w:rsidR="00E11A6D" w:rsidRPr="00DA074D" w14:paraId="448423A5" w14:textId="77777777" w:rsidTr="00697044">
        <w:trPr>
          <w:trHeight w:val="265"/>
          <w:tblHeader/>
        </w:trPr>
        <w:tc>
          <w:tcPr>
            <w:tcW w:w="475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41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697044">
        <w:trPr>
          <w:trHeight w:val="265"/>
          <w:tblHeader/>
        </w:trPr>
        <w:tc>
          <w:tcPr>
            <w:tcW w:w="4752" w:type="dxa"/>
          </w:tcPr>
          <w:p w14:paraId="7FD1D19A" w14:textId="67CE6582" w:rsidR="002827E5" w:rsidRPr="00DA074D" w:rsidRDefault="00697044" w:rsidP="0040482C">
            <w:pPr>
              <w:ind w:right="180"/>
              <w:rPr>
                <w:rFonts w:asciiTheme="majorHAnsi" w:hAnsiTheme="majorHAnsi"/>
                <w:sz w:val="21"/>
                <w:szCs w:val="21"/>
              </w:rPr>
            </w:pPr>
            <w:r>
              <w:rPr>
                <w:rFonts w:asciiTheme="majorHAnsi" w:hAnsiTheme="majorHAnsi"/>
                <w:sz w:val="21"/>
                <w:szCs w:val="21"/>
              </w:rPr>
              <w:t>SPCH 1318</w:t>
            </w:r>
          </w:p>
        </w:tc>
        <w:tc>
          <w:tcPr>
            <w:tcW w:w="4410" w:type="dxa"/>
          </w:tcPr>
          <w:p w14:paraId="2F630E09" w14:textId="70C574D7" w:rsidR="002827E5" w:rsidRPr="00DA074D" w:rsidRDefault="00697044" w:rsidP="0040482C">
            <w:pPr>
              <w:ind w:right="180"/>
              <w:rPr>
                <w:rFonts w:asciiTheme="majorHAnsi" w:hAnsiTheme="majorHAnsi"/>
                <w:sz w:val="21"/>
                <w:szCs w:val="21"/>
              </w:rPr>
            </w:pPr>
            <w:r>
              <w:rPr>
                <w:rFonts w:asciiTheme="majorHAnsi" w:hAnsiTheme="majorHAnsi"/>
                <w:sz w:val="21"/>
                <w:szCs w:val="21"/>
              </w:rPr>
              <w:t>COMM 2315</w:t>
            </w:r>
          </w:p>
        </w:tc>
      </w:tr>
      <w:tr w:rsidR="00FF16F1" w:rsidRPr="00DA074D" w14:paraId="3A9DCAFE" w14:textId="77777777" w:rsidTr="00697044">
        <w:trPr>
          <w:trHeight w:val="265"/>
          <w:tblHeader/>
        </w:trPr>
        <w:tc>
          <w:tcPr>
            <w:tcW w:w="4752" w:type="dxa"/>
          </w:tcPr>
          <w:p w14:paraId="6E6DDB1E" w14:textId="66D0F259" w:rsidR="00FF16F1" w:rsidRDefault="00697044" w:rsidP="0040482C">
            <w:pPr>
              <w:ind w:right="180"/>
              <w:rPr>
                <w:rFonts w:asciiTheme="majorHAnsi" w:hAnsiTheme="majorHAnsi"/>
                <w:sz w:val="21"/>
                <w:szCs w:val="21"/>
              </w:rPr>
            </w:pPr>
            <w:r>
              <w:rPr>
                <w:rFonts w:asciiTheme="majorHAnsi" w:hAnsiTheme="majorHAnsi"/>
                <w:sz w:val="21"/>
                <w:szCs w:val="21"/>
              </w:rPr>
              <w:t>SPCH 1315</w:t>
            </w:r>
          </w:p>
        </w:tc>
        <w:tc>
          <w:tcPr>
            <w:tcW w:w="4410" w:type="dxa"/>
          </w:tcPr>
          <w:p w14:paraId="077BFCCC" w14:textId="70F96C87" w:rsidR="00FF16F1" w:rsidRDefault="00697044" w:rsidP="0040482C">
            <w:pPr>
              <w:ind w:right="180"/>
              <w:rPr>
                <w:rFonts w:asciiTheme="majorHAnsi" w:hAnsiTheme="majorHAnsi"/>
                <w:sz w:val="21"/>
                <w:szCs w:val="21"/>
              </w:rPr>
            </w:pPr>
            <w:r>
              <w:rPr>
                <w:rFonts w:asciiTheme="majorHAnsi" w:hAnsiTheme="majorHAnsi"/>
                <w:sz w:val="21"/>
                <w:szCs w:val="21"/>
              </w:rPr>
              <w:t>COMM 2338</w:t>
            </w:r>
          </w:p>
        </w:tc>
      </w:tr>
      <w:tr w:rsidR="00697044" w:rsidRPr="00DA074D" w14:paraId="28EA4113" w14:textId="77777777" w:rsidTr="00697044">
        <w:trPr>
          <w:trHeight w:val="265"/>
          <w:tblHeader/>
        </w:trPr>
        <w:tc>
          <w:tcPr>
            <w:tcW w:w="4752" w:type="dxa"/>
          </w:tcPr>
          <w:p w14:paraId="260FA471" w14:textId="23FDC130" w:rsidR="00697044" w:rsidRDefault="00697044" w:rsidP="0040482C">
            <w:pPr>
              <w:ind w:right="180"/>
              <w:rPr>
                <w:rFonts w:asciiTheme="majorHAnsi" w:hAnsiTheme="majorHAnsi"/>
                <w:sz w:val="21"/>
                <w:szCs w:val="21"/>
              </w:rPr>
            </w:pPr>
            <w:r>
              <w:rPr>
                <w:rFonts w:asciiTheme="majorHAnsi" w:hAnsiTheme="majorHAnsi"/>
                <w:sz w:val="21"/>
                <w:szCs w:val="21"/>
              </w:rPr>
              <w:t>SPCH 1321</w:t>
            </w:r>
          </w:p>
        </w:tc>
        <w:tc>
          <w:tcPr>
            <w:tcW w:w="4410" w:type="dxa"/>
          </w:tcPr>
          <w:p w14:paraId="41244EA7" w14:textId="3672959A" w:rsidR="00697044" w:rsidRDefault="00697044" w:rsidP="0040482C">
            <w:pPr>
              <w:ind w:right="180"/>
              <w:rPr>
                <w:rFonts w:asciiTheme="majorHAnsi" w:hAnsiTheme="majorHAnsi"/>
                <w:sz w:val="21"/>
                <w:szCs w:val="21"/>
              </w:rPr>
            </w:pPr>
            <w:r>
              <w:rPr>
                <w:rFonts w:asciiTheme="majorHAnsi" w:hAnsiTheme="majorHAnsi"/>
                <w:sz w:val="21"/>
                <w:szCs w:val="21"/>
              </w:rPr>
              <w:t>COMM ELNA</w:t>
            </w:r>
          </w:p>
        </w:tc>
      </w:tr>
      <w:tr w:rsidR="00697044" w:rsidRPr="00DA074D" w14:paraId="25FA3C0E" w14:textId="77777777" w:rsidTr="00697044">
        <w:trPr>
          <w:trHeight w:val="265"/>
          <w:tblHeader/>
        </w:trPr>
        <w:tc>
          <w:tcPr>
            <w:tcW w:w="4752" w:type="dxa"/>
          </w:tcPr>
          <w:p w14:paraId="37C178BA" w14:textId="6218AB33" w:rsidR="00697044" w:rsidRDefault="00697044" w:rsidP="0040482C">
            <w:pPr>
              <w:ind w:right="180"/>
              <w:rPr>
                <w:rFonts w:asciiTheme="majorHAnsi" w:hAnsiTheme="majorHAnsi"/>
                <w:sz w:val="21"/>
                <w:szCs w:val="21"/>
              </w:rPr>
            </w:pPr>
            <w:r>
              <w:rPr>
                <w:rFonts w:asciiTheme="majorHAnsi" w:hAnsiTheme="majorHAnsi"/>
                <w:sz w:val="21"/>
                <w:szCs w:val="21"/>
              </w:rPr>
              <w:t>ENGL 2322, 2323, 2327, 2328 2332 or 2333*</w:t>
            </w:r>
          </w:p>
        </w:tc>
        <w:tc>
          <w:tcPr>
            <w:tcW w:w="4410" w:type="dxa"/>
          </w:tcPr>
          <w:p w14:paraId="14413E28" w14:textId="3DAEAEF8" w:rsidR="00697044" w:rsidRDefault="00697044" w:rsidP="0040482C">
            <w:pPr>
              <w:ind w:right="180"/>
              <w:rPr>
                <w:rFonts w:asciiTheme="majorHAnsi" w:hAnsiTheme="majorHAnsi"/>
                <w:sz w:val="21"/>
                <w:szCs w:val="21"/>
              </w:rPr>
            </w:pPr>
            <w:r>
              <w:rPr>
                <w:rFonts w:asciiTheme="majorHAnsi" w:hAnsiTheme="majorHAnsi"/>
                <w:sz w:val="21"/>
                <w:szCs w:val="21"/>
              </w:rPr>
              <w:t>ENG 2310, 2320, 2359, 2360, 2330 or 2340*</w:t>
            </w:r>
          </w:p>
        </w:tc>
      </w:tr>
      <w:tr w:rsidR="00697044" w:rsidRPr="00DA074D" w14:paraId="2AF35714" w14:textId="77777777" w:rsidTr="00697044">
        <w:trPr>
          <w:trHeight w:val="265"/>
          <w:tblHeader/>
        </w:trPr>
        <w:tc>
          <w:tcPr>
            <w:tcW w:w="4752" w:type="dxa"/>
          </w:tcPr>
          <w:p w14:paraId="4304FD4F" w14:textId="0448625A" w:rsidR="00697044" w:rsidRDefault="00697044" w:rsidP="0040482C">
            <w:pPr>
              <w:ind w:right="180"/>
              <w:rPr>
                <w:rFonts w:asciiTheme="majorHAnsi" w:hAnsiTheme="majorHAnsi"/>
                <w:sz w:val="21"/>
                <w:szCs w:val="21"/>
              </w:rPr>
            </w:pPr>
            <w:r>
              <w:rPr>
                <w:rFonts w:asciiTheme="majorHAnsi" w:hAnsiTheme="majorHAnsi"/>
                <w:sz w:val="21"/>
                <w:szCs w:val="21"/>
              </w:rPr>
              <w:t>MOD LANG 1411, 1412, 2311 &amp; 2312</w:t>
            </w:r>
          </w:p>
        </w:tc>
        <w:tc>
          <w:tcPr>
            <w:tcW w:w="4410" w:type="dxa"/>
          </w:tcPr>
          <w:p w14:paraId="317685AF" w14:textId="54344E90" w:rsidR="00697044" w:rsidRDefault="00697044" w:rsidP="0040482C">
            <w:pPr>
              <w:ind w:right="180"/>
              <w:rPr>
                <w:rFonts w:asciiTheme="majorHAnsi" w:hAnsiTheme="majorHAnsi"/>
                <w:sz w:val="21"/>
                <w:szCs w:val="21"/>
              </w:rPr>
            </w:pPr>
            <w:r>
              <w:rPr>
                <w:rFonts w:asciiTheme="majorHAnsi" w:hAnsiTheme="majorHAnsi"/>
                <w:sz w:val="21"/>
                <w:szCs w:val="21"/>
              </w:rPr>
              <w:t>MOD LANG 1410, 1420, 2310 &amp; 2320</w:t>
            </w:r>
          </w:p>
        </w:tc>
      </w:tr>
    </w:tbl>
    <w:p w14:paraId="352A384C" w14:textId="01803525" w:rsidR="00E139B3" w:rsidRDefault="00697044" w:rsidP="00697044">
      <w:pPr>
        <w:tabs>
          <w:tab w:val="left" w:pos="270"/>
        </w:tabs>
        <w:ind w:left="360"/>
        <w:rPr>
          <w:rFonts w:asciiTheme="majorHAnsi" w:hAnsiTheme="majorHAnsi"/>
          <w:i/>
          <w:iCs/>
          <w:sz w:val="21"/>
          <w:szCs w:val="21"/>
        </w:rPr>
      </w:pPr>
      <w:r>
        <w:rPr>
          <w:i/>
          <w:iCs/>
          <w:sz w:val="21"/>
          <w:szCs w:val="21"/>
        </w:rPr>
        <w:t>*</w:t>
      </w:r>
      <w:r>
        <w:rPr>
          <w:rFonts w:asciiTheme="majorHAnsi" w:hAnsiTheme="majorHAnsi"/>
          <w:i/>
          <w:iCs/>
          <w:sz w:val="21"/>
          <w:szCs w:val="21"/>
        </w:rPr>
        <w:t>Choose 6 hours (2 courses) to complete BA Literature requirement</w:t>
      </w:r>
      <w:r w:rsidR="00756DA5" w:rsidRPr="00756DA5">
        <w:rPr>
          <w:rFonts w:asciiTheme="majorHAnsi" w:hAnsiTheme="majorHAnsi"/>
          <w:i/>
          <w:iCs/>
          <w:sz w:val="21"/>
          <w:szCs w:val="21"/>
        </w:rPr>
        <w:t>.</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3486F097" w14:textId="77777777" w:rsidR="00697044" w:rsidRDefault="00697044">
      <w:pPr>
        <w:rPr>
          <w:rFonts w:asciiTheme="majorHAnsi" w:hAnsiTheme="majorHAnsi"/>
          <w:sz w:val="21"/>
          <w:szCs w:val="21"/>
        </w:rPr>
      </w:pPr>
      <w:r>
        <w:rPr>
          <w:rFonts w:asciiTheme="majorHAnsi" w:hAnsiTheme="majorHAnsi"/>
          <w:sz w:val="21"/>
          <w:szCs w:val="21"/>
        </w:rPr>
        <w:br w:type="page"/>
      </w:r>
    </w:p>
    <w:p w14:paraId="7A0BFEFA" w14:textId="7DC9B252" w:rsidR="00697044" w:rsidRPr="00DA074D" w:rsidRDefault="00697044" w:rsidP="00697044">
      <w:pPr>
        <w:pStyle w:val="Heading2"/>
        <w:spacing w:before="0" w:line="240" w:lineRule="auto"/>
        <w:ind w:left="360" w:right="180"/>
        <w:jc w:val="left"/>
        <w:rPr>
          <w:rFonts w:asciiTheme="majorHAnsi" w:hAnsiTheme="majorHAnsi"/>
          <w:sz w:val="21"/>
          <w:szCs w:val="21"/>
        </w:rPr>
      </w:pPr>
      <w:bookmarkStart w:id="0" w:name="_GoBack"/>
      <w:bookmarkEnd w:id="0"/>
      <w:r>
        <w:rPr>
          <w:rFonts w:asciiTheme="majorHAnsi" w:hAnsiTheme="majorHAnsi"/>
          <w:sz w:val="21"/>
          <w:szCs w:val="21"/>
        </w:rPr>
        <w:lastRenderedPageBreak/>
        <w:t>COMMUNICATION STUDIES</w:t>
      </w:r>
      <w:r>
        <w:rPr>
          <w:rFonts w:asciiTheme="majorHAnsi" w:hAnsiTheme="majorHAnsi"/>
          <w:sz w:val="21"/>
          <w:szCs w:val="21"/>
        </w:rPr>
        <w:t xml:space="preserve"> ADMITTANCE REQUIREMENTS</w:t>
      </w:r>
      <w:r w:rsidRPr="00DA074D">
        <w:rPr>
          <w:rFonts w:asciiTheme="majorHAnsi" w:hAnsiTheme="majorHAnsi"/>
          <w:sz w:val="21"/>
          <w:szCs w:val="21"/>
        </w:rPr>
        <w:t>:</w:t>
      </w:r>
    </w:p>
    <w:p w14:paraId="3941C245" w14:textId="77777777" w:rsidR="00697044" w:rsidRDefault="00697044" w:rsidP="00697044">
      <w:pPr>
        <w:pStyle w:val="BodyText"/>
        <w:ind w:left="360"/>
        <w:rPr>
          <w:rFonts w:asciiTheme="majorHAnsi" w:hAnsiTheme="majorHAnsi"/>
        </w:rPr>
      </w:pPr>
    </w:p>
    <w:p w14:paraId="2AC697E0" w14:textId="6C9D17E2" w:rsidR="00697044" w:rsidRPr="00DA074D" w:rsidRDefault="00697044" w:rsidP="00697044">
      <w:pPr>
        <w:pStyle w:val="BodyText"/>
        <w:ind w:left="360"/>
        <w:rPr>
          <w:rFonts w:asciiTheme="majorHAnsi" w:hAnsiTheme="majorHAnsi"/>
        </w:rPr>
      </w:pPr>
      <w:r w:rsidRPr="00D95063">
        <w:rPr>
          <w:rFonts w:asciiTheme="majorHAnsi" w:hAnsiTheme="majorHAnsi"/>
        </w:rPr>
        <w:t xml:space="preserve">The requirements for admittance to the </w:t>
      </w:r>
      <w:r>
        <w:rPr>
          <w:rFonts w:asciiTheme="majorHAnsi" w:hAnsiTheme="majorHAnsi"/>
        </w:rPr>
        <w:t>Communication Studies</w:t>
      </w:r>
      <w:r w:rsidRPr="00D95063">
        <w:rPr>
          <w:rFonts w:asciiTheme="majorHAnsi" w:hAnsiTheme="majorHAnsi"/>
        </w:rPr>
        <w:t xml:space="preserve"> Program are listed below. </w:t>
      </w:r>
    </w:p>
    <w:p w14:paraId="59143EA1" w14:textId="75C6C1DF" w:rsidR="00697044" w:rsidRDefault="00697044" w:rsidP="00697044">
      <w:pPr>
        <w:pStyle w:val="ListParagraph"/>
        <w:numPr>
          <w:ilvl w:val="0"/>
          <w:numId w:val="5"/>
        </w:numPr>
      </w:pPr>
      <w:r>
        <w:t>A minimum of 45 credit hours completed</w:t>
      </w:r>
    </w:p>
    <w:p w14:paraId="2A07BAB6" w14:textId="437A9F3D" w:rsidR="00697044" w:rsidRDefault="00697044" w:rsidP="00697044">
      <w:pPr>
        <w:pStyle w:val="ListParagraph"/>
        <w:numPr>
          <w:ilvl w:val="0"/>
          <w:numId w:val="5"/>
        </w:numPr>
      </w:pPr>
      <w:r>
        <w:t>A minimum 2.5 overall GPA</w:t>
      </w:r>
    </w:p>
    <w:p w14:paraId="523BC040" w14:textId="77777777" w:rsidR="00697044" w:rsidRPr="00DA074D" w:rsidRDefault="00697044" w:rsidP="00697044"/>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920E28"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920E28"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F0C1F"/>
    <w:rsid w:val="004F7C81"/>
    <w:rsid w:val="00537510"/>
    <w:rsid w:val="00541824"/>
    <w:rsid w:val="00600E5C"/>
    <w:rsid w:val="00623961"/>
    <w:rsid w:val="00653F91"/>
    <w:rsid w:val="00697044"/>
    <w:rsid w:val="006D0F9F"/>
    <w:rsid w:val="00756DA5"/>
    <w:rsid w:val="0079457C"/>
    <w:rsid w:val="00825488"/>
    <w:rsid w:val="008A6200"/>
    <w:rsid w:val="00920E28"/>
    <w:rsid w:val="009D73BC"/>
    <w:rsid w:val="00AC2F6F"/>
    <w:rsid w:val="00AC7162"/>
    <w:rsid w:val="00B15D7D"/>
    <w:rsid w:val="00B16860"/>
    <w:rsid w:val="00B17D9B"/>
    <w:rsid w:val="00B30C85"/>
    <w:rsid w:val="00B44884"/>
    <w:rsid w:val="00B76511"/>
    <w:rsid w:val="00BA039C"/>
    <w:rsid w:val="00BC4F3C"/>
    <w:rsid w:val="00C13710"/>
    <w:rsid w:val="00C42CCF"/>
    <w:rsid w:val="00D95063"/>
    <w:rsid w:val="00DA074D"/>
    <w:rsid w:val="00E11A6D"/>
    <w:rsid w:val="00E139B3"/>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7103-ACE0-407D-9AB9-7F80E685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2019-11-01T16:08:00Z</dcterms:created>
  <dcterms:modified xsi:type="dcterms:W3CDTF">2019-11-01T16:08:00Z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