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056E" w14:textId="77777777" w:rsidR="00CF2901" w:rsidRDefault="00CF2901" w:rsidP="00CF2901">
      <w:pPr>
        <w:ind w:left="90"/>
        <w:rPr>
          <w:b/>
          <w:sz w:val="32"/>
          <w:szCs w:val="32"/>
        </w:rPr>
      </w:pPr>
    </w:p>
    <w:p w14:paraId="0B4872FC" w14:textId="73600D64" w:rsidR="00CF2901" w:rsidRDefault="00CF2901" w:rsidP="00CF2901">
      <w:pPr>
        <w:ind w:left="90"/>
        <w:rPr>
          <w:b/>
          <w:sz w:val="28"/>
          <w:szCs w:val="28"/>
        </w:rPr>
      </w:pPr>
      <w:r w:rsidRPr="00CF2901">
        <w:rPr>
          <w:b/>
          <w:sz w:val="40"/>
          <w:szCs w:val="40"/>
        </w:rPr>
        <w:t>Annual Performance Evaluation and Merit</w:t>
      </w:r>
      <w:r w:rsidR="00F41FB8">
        <w:rPr>
          <w:b/>
          <w:sz w:val="28"/>
          <w:szCs w:val="28"/>
        </w:rPr>
        <w:br w:type="column"/>
      </w:r>
      <w:r w:rsidR="00073536">
        <w:rPr>
          <w:b/>
          <w:sz w:val="28"/>
          <w:szCs w:val="28"/>
        </w:rPr>
        <w:t xml:space="preserve"> </w:t>
      </w:r>
    </w:p>
    <w:p w14:paraId="64BC9A25" w14:textId="756FD508" w:rsidR="00432C95" w:rsidRPr="00CF2901" w:rsidRDefault="00CF2901" w:rsidP="00CF2901">
      <w:pPr>
        <w:ind w:left="90"/>
        <w:rPr>
          <w:b/>
          <w:sz w:val="28"/>
          <w:szCs w:val="28"/>
        </w:rPr>
      </w:pPr>
      <w:r>
        <w:rPr>
          <w:b/>
          <w:sz w:val="28"/>
          <w:szCs w:val="28"/>
        </w:rPr>
        <w:t xml:space="preserve"> </w:t>
      </w:r>
      <w:r w:rsidR="00432C95" w:rsidRPr="00CF2901">
        <w:rPr>
          <w:bCs/>
          <w:szCs w:val="24"/>
        </w:rPr>
        <w:t>SOHA_PPS 04.02.</w:t>
      </w:r>
      <w:r w:rsidR="00D52B64" w:rsidRPr="00CF2901">
        <w:rPr>
          <w:bCs/>
          <w:szCs w:val="24"/>
        </w:rPr>
        <w:t>01</w:t>
      </w:r>
      <w:r w:rsidR="00432C95" w:rsidRPr="00CF2901">
        <w:rPr>
          <w:bCs/>
          <w:szCs w:val="24"/>
        </w:rPr>
        <w:t xml:space="preserve"> </w:t>
      </w:r>
    </w:p>
    <w:p w14:paraId="3676F040" w14:textId="056E9F91" w:rsidR="00366A43" w:rsidRPr="00CF2901" w:rsidRDefault="00366A43" w:rsidP="009E1322">
      <w:pPr>
        <w:ind w:left="180"/>
        <w:rPr>
          <w:bCs/>
          <w:szCs w:val="24"/>
        </w:rPr>
      </w:pPr>
      <w:r w:rsidRPr="00CF2901">
        <w:rPr>
          <w:bCs/>
          <w:szCs w:val="24"/>
        </w:rPr>
        <w:t xml:space="preserve">Effective date: </w:t>
      </w:r>
      <w:r w:rsidR="00CF2901" w:rsidRPr="00CF2901">
        <w:rPr>
          <w:bCs/>
          <w:szCs w:val="24"/>
        </w:rPr>
        <w:t>5</w:t>
      </w:r>
      <w:r w:rsidRPr="00CF2901">
        <w:rPr>
          <w:bCs/>
          <w:szCs w:val="24"/>
        </w:rPr>
        <w:t>/</w:t>
      </w:r>
      <w:r w:rsidR="00CF2901" w:rsidRPr="00CF2901">
        <w:rPr>
          <w:bCs/>
          <w:szCs w:val="24"/>
        </w:rPr>
        <w:t>1</w:t>
      </w:r>
      <w:r w:rsidRPr="00CF2901">
        <w:rPr>
          <w:bCs/>
          <w:szCs w:val="24"/>
        </w:rPr>
        <w:t>/20</w:t>
      </w:r>
      <w:r w:rsidR="006E24B7" w:rsidRPr="00CF2901">
        <w:rPr>
          <w:bCs/>
          <w:szCs w:val="24"/>
        </w:rPr>
        <w:t>2</w:t>
      </w:r>
      <w:r w:rsidR="00705C87" w:rsidRPr="00CF2901">
        <w:rPr>
          <w:bCs/>
          <w:szCs w:val="24"/>
        </w:rPr>
        <w:t>2</w:t>
      </w:r>
    </w:p>
    <w:p w14:paraId="7FEC3079" w14:textId="326AEA31" w:rsidR="00CF2901" w:rsidRPr="00CF2901" w:rsidRDefault="00CF2901" w:rsidP="009E1322">
      <w:pPr>
        <w:ind w:left="180"/>
        <w:rPr>
          <w:bCs/>
          <w:szCs w:val="24"/>
        </w:rPr>
      </w:pPr>
      <w:r w:rsidRPr="00CF2901">
        <w:rPr>
          <w:bCs/>
          <w:szCs w:val="24"/>
        </w:rPr>
        <w:t>Review Date: 04/2/2022</w:t>
      </w:r>
    </w:p>
    <w:p w14:paraId="5A0BB190" w14:textId="59C8D603" w:rsidR="00F12BDA" w:rsidRPr="00CF2901" w:rsidRDefault="006E24B7" w:rsidP="009E1322">
      <w:pPr>
        <w:ind w:left="180"/>
        <w:rPr>
          <w:bCs/>
          <w:szCs w:val="24"/>
        </w:rPr>
      </w:pPr>
      <w:r w:rsidRPr="00CF2901">
        <w:rPr>
          <w:bCs/>
          <w:szCs w:val="24"/>
        </w:rPr>
        <w:t>Next Review</w:t>
      </w:r>
      <w:r w:rsidR="00F12BDA" w:rsidRPr="00CF2901">
        <w:rPr>
          <w:bCs/>
          <w:szCs w:val="24"/>
        </w:rPr>
        <w:t xml:space="preserve"> Date: </w:t>
      </w:r>
      <w:r w:rsidR="006F208B" w:rsidRPr="00CF2901">
        <w:rPr>
          <w:bCs/>
          <w:szCs w:val="24"/>
        </w:rPr>
        <w:t>9</w:t>
      </w:r>
      <w:r w:rsidR="00F12BDA" w:rsidRPr="00CF2901">
        <w:rPr>
          <w:bCs/>
          <w:szCs w:val="24"/>
        </w:rPr>
        <w:t>/</w:t>
      </w:r>
      <w:r w:rsidRPr="00CF2901">
        <w:rPr>
          <w:bCs/>
          <w:szCs w:val="24"/>
        </w:rPr>
        <w:t>1/</w:t>
      </w:r>
      <w:r w:rsidR="00F12BDA" w:rsidRPr="00CF2901">
        <w:rPr>
          <w:bCs/>
          <w:szCs w:val="24"/>
        </w:rPr>
        <w:t>202</w:t>
      </w:r>
      <w:r w:rsidR="0067239A" w:rsidRPr="00CF2901">
        <w:rPr>
          <w:bCs/>
          <w:szCs w:val="24"/>
        </w:rPr>
        <w:t>7</w:t>
      </w:r>
      <w:r w:rsidR="003A6BE5" w:rsidRPr="00CF2901">
        <w:rPr>
          <w:bCs/>
          <w:szCs w:val="24"/>
        </w:rPr>
        <w:t xml:space="preserve"> (E5Y)</w:t>
      </w:r>
    </w:p>
    <w:p w14:paraId="7F8ADA86" w14:textId="044D431C" w:rsidR="00EE30E4" w:rsidRPr="00CF2901" w:rsidRDefault="003A6BE5" w:rsidP="009E1322">
      <w:pPr>
        <w:ind w:left="180"/>
        <w:rPr>
          <w:bCs/>
          <w:szCs w:val="24"/>
        </w:rPr>
      </w:pPr>
      <w:r w:rsidRPr="00CF2901">
        <w:rPr>
          <w:bCs/>
          <w:szCs w:val="24"/>
        </w:rPr>
        <w:t>Sr. Reviewer: SOHA Director</w:t>
      </w:r>
    </w:p>
    <w:p w14:paraId="24BB617B" w14:textId="77777777" w:rsidR="005E6909" w:rsidRDefault="005E6909" w:rsidP="009E1322">
      <w:pPr>
        <w:ind w:left="90"/>
        <w:rPr>
          <w:b/>
          <w:sz w:val="20"/>
        </w:rPr>
        <w:sectPr w:rsidR="005E6909" w:rsidSect="00F41FB8">
          <w:pgSz w:w="12240" w:h="15840"/>
          <w:pgMar w:top="1360" w:right="1340" w:bottom="280" w:left="1340" w:header="720" w:footer="720" w:gutter="0"/>
          <w:cols w:num="2" w:space="180"/>
        </w:sectPr>
      </w:pPr>
    </w:p>
    <w:p w14:paraId="7EBC1259" w14:textId="1018DBF8" w:rsidR="005E6909" w:rsidRDefault="005E6909">
      <w:pPr>
        <w:ind w:left="100"/>
        <w:rPr>
          <w:b/>
          <w:sz w:val="20"/>
        </w:rPr>
      </w:pPr>
    </w:p>
    <w:p w14:paraId="0F7B888A" w14:textId="77777777" w:rsidR="00BF7ACB" w:rsidRDefault="00BF7ACB">
      <w:pPr>
        <w:pStyle w:val="BodyText"/>
        <w:spacing w:before="11"/>
        <w:rPr>
          <w:b/>
          <w:sz w:val="19"/>
        </w:rPr>
      </w:pPr>
    </w:p>
    <w:p w14:paraId="0F7B888B" w14:textId="5832EC89" w:rsidR="00BF7ACB" w:rsidRDefault="003A47CC" w:rsidP="003A47CC">
      <w:pPr>
        <w:pStyle w:val="Heading1"/>
        <w:spacing w:before="0" w:after="120" w:line="360" w:lineRule="auto"/>
        <w:ind w:left="0" w:right="20"/>
      </w:pPr>
      <w:r>
        <w:t>01.</w:t>
      </w:r>
      <w:r>
        <w:tab/>
      </w:r>
      <w:r w:rsidR="00825E6F">
        <w:t>POLICY</w:t>
      </w:r>
      <w:r w:rsidR="0067239A">
        <w:t xml:space="preserve"> </w:t>
      </w:r>
      <w:r w:rsidR="00C84DEB">
        <w:t>STATEMENT</w:t>
      </w:r>
      <w:r w:rsidR="002F3453">
        <w:t>.</w:t>
      </w:r>
      <w:r w:rsidR="009750A3">
        <w:t xml:space="preserve"> </w:t>
      </w:r>
      <w:r w:rsidR="00D66D1A">
        <w:rPr>
          <w:b w:val="0"/>
          <w:bCs w:val="0"/>
        </w:rPr>
        <w:t>SOHA</w:t>
      </w:r>
      <w:r w:rsidR="002F3453">
        <w:rPr>
          <w:b w:val="0"/>
          <w:bCs w:val="0"/>
        </w:rPr>
        <w:t xml:space="preserve"> is committed to </w:t>
      </w:r>
      <w:r w:rsidR="00B83F64">
        <w:rPr>
          <w:b w:val="0"/>
          <w:bCs w:val="0"/>
        </w:rPr>
        <w:t xml:space="preserve">providing fair evaluations on individual performance, and </w:t>
      </w:r>
      <w:r w:rsidR="00C27CBE">
        <w:rPr>
          <w:b w:val="0"/>
          <w:bCs w:val="0"/>
        </w:rPr>
        <w:t>we will</w:t>
      </w:r>
      <w:r w:rsidR="00B83F64">
        <w:rPr>
          <w:b w:val="0"/>
          <w:bCs w:val="0"/>
        </w:rPr>
        <w:t xml:space="preserve"> tie </w:t>
      </w:r>
      <w:r w:rsidR="00C27CBE">
        <w:rPr>
          <w:b w:val="0"/>
          <w:bCs w:val="0"/>
        </w:rPr>
        <w:t>annual</w:t>
      </w:r>
      <w:r w:rsidR="00B83F64">
        <w:rPr>
          <w:b w:val="0"/>
          <w:bCs w:val="0"/>
        </w:rPr>
        <w:t xml:space="preserve"> evaluation to merit awards.</w:t>
      </w:r>
    </w:p>
    <w:p w14:paraId="75E6E5D1" w14:textId="6335458A" w:rsidR="00434CC7" w:rsidRDefault="003A47CC" w:rsidP="003A47CC">
      <w:pPr>
        <w:pStyle w:val="Heading1"/>
        <w:tabs>
          <w:tab w:val="left" w:pos="1170"/>
        </w:tabs>
        <w:spacing w:before="0" w:after="120" w:line="276" w:lineRule="auto"/>
        <w:ind w:left="1170" w:right="20" w:hanging="810"/>
        <w:rPr>
          <w:b w:val="0"/>
          <w:bCs w:val="0"/>
        </w:rPr>
      </w:pPr>
      <w:r>
        <w:rPr>
          <w:b w:val="0"/>
          <w:bCs w:val="0"/>
        </w:rPr>
        <w:t>01.01</w:t>
      </w:r>
      <w:r w:rsidR="00666138">
        <w:rPr>
          <w:b w:val="0"/>
          <w:bCs w:val="0"/>
        </w:rPr>
        <w:t>.</w:t>
      </w:r>
      <w:r>
        <w:rPr>
          <w:b w:val="0"/>
          <w:bCs w:val="0"/>
        </w:rPr>
        <w:tab/>
      </w:r>
      <w:r w:rsidR="00C70CAF" w:rsidRPr="0017497B">
        <w:rPr>
          <w:b w:val="0"/>
          <w:bCs w:val="0"/>
        </w:rPr>
        <w:t xml:space="preserve">See </w:t>
      </w:r>
      <w:hyperlink r:id="rId5" w:history="1">
        <w:r w:rsidR="0017497B" w:rsidRPr="00AB4657">
          <w:rPr>
            <w:rStyle w:val="Hyperlink"/>
            <w:b w:val="0"/>
            <w:bCs w:val="0"/>
          </w:rPr>
          <w:t>AA/PPS 04.02.</w:t>
        </w:r>
        <w:r w:rsidR="000B056B" w:rsidRPr="00AB4657">
          <w:rPr>
            <w:rStyle w:val="Hyperlink"/>
            <w:b w:val="0"/>
            <w:bCs w:val="0"/>
          </w:rPr>
          <w:t>01 (8.01)</w:t>
        </w:r>
      </w:hyperlink>
      <w:r w:rsidR="000B056B">
        <w:rPr>
          <w:b w:val="0"/>
          <w:bCs w:val="0"/>
        </w:rPr>
        <w:t xml:space="preserve"> Development/Evaluation of Tenure-Track Faculty, </w:t>
      </w:r>
      <w:hyperlink r:id="rId6" w:history="1">
        <w:r w:rsidR="00DE5A22" w:rsidRPr="00AB4657">
          <w:rPr>
            <w:rStyle w:val="Hyperlink"/>
            <w:b w:val="0"/>
            <w:bCs w:val="0"/>
          </w:rPr>
          <w:t>AA/PPS 04.02.02 (8</w:t>
        </w:r>
        <w:r w:rsidR="00AB4657" w:rsidRPr="00AB4657">
          <w:rPr>
            <w:rStyle w:val="Hyperlink"/>
            <w:b w:val="0"/>
            <w:bCs w:val="0"/>
          </w:rPr>
          <w:t>.</w:t>
        </w:r>
        <w:r w:rsidR="00DE5A22" w:rsidRPr="00AB4657">
          <w:rPr>
            <w:rStyle w:val="Hyperlink"/>
            <w:b w:val="0"/>
            <w:bCs w:val="0"/>
          </w:rPr>
          <w:t>02)</w:t>
        </w:r>
      </w:hyperlink>
      <w:r w:rsidR="00DE5A22">
        <w:rPr>
          <w:b w:val="0"/>
          <w:bCs w:val="0"/>
        </w:rPr>
        <w:t xml:space="preserve"> Faculty Development Leave, </w:t>
      </w:r>
      <w:hyperlink r:id="rId7" w:history="1">
        <w:r w:rsidR="00DE5A22" w:rsidRPr="003226E1">
          <w:rPr>
            <w:rStyle w:val="Hyperlink"/>
            <w:b w:val="0"/>
            <w:bCs w:val="0"/>
          </w:rPr>
          <w:t xml:space="preserve">AA/PPS </w:t>
        </w:r>
        <w:r w:rsidR="00B200BC" w:rsidRPr="003226E1">
          <w:rPr>
            <w:rStyle w:val="Hyperlink"/>
            <w:b w:val="0"/>
            <w:bCs w:val="0"/>
          </w:rPr>
          <w:t>04.02.</w:t>
        </w:r>
        <w:r w:rsidR="0017497B" w:rsidRPr="003226E1">
          <w:rPr>
            <w:rStyle w:val="Hyperlink"/>
            <w:b w:val="0"/>
            <w:bCs w:val="0"/>
          </w:rPr>
          <w:t>10 (8.09)</w:t>
        </w:r>
      </w:hyperlink>
      <w:r w:rsidR="00B200BC">
        <w:rPr>
          <w:b w:val="0"/>
          <w:bCs w:val="0"/>
        </w:rPr>
        <w:t xml:space="preserve"> Performance Evaluation of Continuing Faculty and Post-Tenure Review, </w:t>
      </w:r>
      <w:hyperlink r:id="rId8" w:history="1">
        <w:r w:rsidR="00B200BC" w:rsidRPr="003226E1">
          <w:rPr>
            <w:rStyle w:val="Hyperlink"/>
            <w:b w:val="0"/>
            <w:bCs w:val="0"/>
          </w:rPr>
          <w:t>AA/PPS 04.02.11 (8.11)</w:t>
        </w:r>
      </w:hyperlink>
      <w:r w:rsidR="00B200BC">
        <w:rPr>
          <w:b w:val="0"/>
          <w:bCs w:val="0"/>
        </w:rPr>
        <w:t xml:space="preserve"> Performance Evaluation of Non-Continuing Faculty and Post-Tenure Review,</w:t>
      </w:r>
      <w:r w:rsidR="0017497B" w:rsidRPr="0017497B">
        <w:rPr>
          <w:b w:val="0"/>
          <w:bCs w:val="0"/>
        </w:rPr>
        <w:t xml:space="preserve"> </w:t>
      </w:r>
      <w:r w:rsidR="00B722BA">
        <w:rPr>
          <w:b w:val="0"/>
          <w:bCs w:val="0"/>
        </w:rPr>
        <w:t xml:space="preserve">and </w:t>
      </w:r>
      <w:hyperlink r:id="rId9" w:history="1">
        <w:r w:rsidR="001E7721" w:rsidRPr="00FD6C25">
          <w:rPr>
            <w:rStyle w:val="Hyperlink"/>
            <w:b w:val="0"/>
            <w:bCs w:val="0"/>
          </w:rPr>
          <w:t>CHP 04.02.20</w:t>
        </w:r>
      </w:hyperlink>
      <w:r w:rsidR="001E7721">
        <w:rPr>
          <w:b w:val="0"/>
          <w:bCs w:val="0"/>
        </w:rPr>
        <w:t xml:space="preserve"> </w:t>
      </w:r>
      <w:r w:rsidR="0017497B" w:rsidRPr="0017497B">
        <w:rPr>
          <w:b w:val="0"/>
          <w:bCs w:val="0"/>
        </w:rPr>
        <w:t>for listing of standards</w:t>
      </w:r>
      <w:r w:rsidR="006F208B">
        <w:rPr>
          <w:b w:val="0"/>
          <w:bCs w:val="0"/>
        </w:rPr>
        <w:t xml:space="preserve"> related to annual performance evaluation</w:t>
      </w:r>
      <w:r w:rsidR="002A15B3">
        <w:rPr>
          <w:b w:val="0"/>
          <w:bCs w:val="0"/>
        </w:rPr>
        <w:t xml:space="preserve">. </w:t>
      </w:r>
      <w:r w:rsidR="000B5127" w:rsidRPr="000B5127">
        <w:rPr>
          <w:b w:val="0"/>
          <w:bCs w:val="0"/>
        </w:rPr>
        <w:t>This PPS addresses all lines of faculty</w:t>
      </w:r>
      <w:r w:rsidR="00877DC3">
        <w:rPr>
          <w:b w:val="0"/>
          <w:bCs w:val="0"/>
        </w:rPr>
        <w:t xml:space="preserve"> for SOHA</w:t>
      </w:r>
      <w:r w:rsidR="000B5127" w:rsidRPr="000B5127">
        <w:rPr>
          <w:b w:val="0"/>
          <w:bCs w:val="0"/>
        </w:rPr>
        <w:t>.</w:t>
      </w:r>
    </w:p>
    <w:p w14:paraId="4B7815D3" w14:textId="0DB9A69D" w:rsidR="008705A0" w:rsidRDefault="003A47CC" w:rsidP="003A47CC">
      <w:pPr>
        <w:pStyle w:val="Heading1"/>
        <w:tabs>
          <w:tab w:val="left" w:pos="1170"/>
        </w:tabs>
        <w:spacing w:before="0" w:after="120" w:line="276" w:lineRule="auto"/>
        <w:ind w:left="1170" w:right="20" w:hanging="810"/>
        <w:rPr>
          <w:b w:val="0"/>
          <w:bCs w:val="0"/>
        </w:rPr>
      </w:pPr>
      <w:r>
        <w:rPr>
          <w:b w:val="0"/>
          <w:bCs w:val="0"/>
        </w:rPr>
        <w:t>01.02</w:t>
      </w:r>
      <w:r w:rsidR="00666138">
        <w:rPr>
          <w:b w:val="0"/>
          <w:bCs w:val="0"/>
        </w:rPr>
        <w:t>.</w:t>
      </w:r>
      <w:r>
        <w:rPr>
          <w:b w:val="0"/>
          <w:bCs w:val="0"/>
        </w:rPr>
        <w:tab/>
      </w:r>
      <w:r w:rsidR="008705A0">
        <w:rPr>
          <w:b w:val="0"/>
          <w:bCs w:val="0"/>
        </w:rPr>
        <w:t xml:space="preserve">See </w:t>
      </w:r>
      <w:hyperlink r:id="rId10" w:history="1">
        <w:r w:rsidR="008705A0" w:rsidRPr="004553B5">
          <w:rPr>
            <w:rStyle w:val="Hyperlink"/>
            <w:b w:val="0"/>
            <w:bCs w:val="0"/>
          </w:rPr>
          <w:t>AA/PPS 04.02.20</w:t>
        </w:r>
      </w:hyperlink>
      <w:r w:rsidR="00EA19CC">
        <w:rPr>
          <w:b w:val="0"/>
          <w:bCs w:val="0"/>
        </w:rPr>
        <w:t xml:space="preserve"> </w:t>
      </w:r>
      <w:r w:rsidR="004D1A9E">
        <w:rPr>
          <w:b w:val="0"/>
          <w:bCs w:val="0"/>
        </w:rPr>
        <w:t xml:space="preserve">and </w:t>
      </w:r>
      <w:hyperlink r:id="rId11" w:history="1">
        <w:r w:rsidR="004D1A9E" w:rsidRPr="00FD6C25">
          <w:rPr>
            <w:rStyle w:val="Hyperlink"/>
            <w:b w:val="0"/>
            <w:bCs w:val="0"/>
          </w:rPr>
          <w:t>CHP 04.02.20</w:t>
        </w:r>
      </w:hyperlink>
      <w:r w:rsidR="00095F55">
        <w:rPr>
          <w:b w:val="0"/>
          <w:bCs w:val="0"/>
        </w:rPr>
        <w:t xml:space="preserve"> </w:t>
      </w:r>
      <w:r w:rsidR="00EA19CC">
        <w:rPr>
          <w:b w:val="0"/>
          <w:bCs w:val="0"/>
        </w:rPr>
        <w:t>for listing of standards for Tenure and Promotion Review.</w:t>
      </w:r>
    </w:p>
    <w:p w14:paraId="7686B0F0" w14:textId="26398298" w:rsidR="00434401" w:rsidRDefault="003A47CC" w:rsidP="003A47CC">
      <w:pPr>
        <w:pStyle w:val="Heading1"/>
        <w:tabs>
          <w:tab w:val="left" w:pos="1170"/>
        </w:tabs>
        <w:spacing w:before="0" w:after="120" w:line="276" w:lineRule="auto"/>
        <w:ind w:left="1170" w:right="20" w:hanging="810"/>
        <w:rPr>
          <w:b w:val="0"/>
          <w:bCs w:val="0"/>
        </w:rPr>
      </w:pPr>
      <w:r>
        <w:rPr>
          <w:b w:val="0"/>
          <w:bCs w:val="0"/>
        </w:rPr>
        <w:t>01.03</w:t>
      </w:r>
      <w:r w:rsidR="00666138">
        <w:rPr>
          <w:b w:val="0"/>
          <w:bCs w:val="0"/>
        </w:rPr>
        <w:t>.</w:t>
      </w:r>
      <w:r>
        <w:rPr>
          <w:b w:val="0"/>
          <w:bCs w:val="0"/>
        </w:rPr>
        <w:tab/>
      </w:r>
      <w:r w:rsidR="00434401">
        <w:rPr>
          <w:b w:val="0"/>
          <w:bCs w:val="0"/>
        </w:rPr>
        <w:t xml:space="preserve">See </w:t>
      </w:r>
      <w:hyperlink r:id="rId12" w:history="1">
        <w:r w:rsidR="00E14256" w:rsidRPr="00E14256">
          <w:rPr>
            <w:rStyle w:val="Hyperlink"/>
            <w:b w:val="0"/>
            <w:bCs w:val="0"/>
          </w:rPr>
          <w:t>AA/PPS 04.01.50 (7.10)</w:t>
        </w:r>
      </w:hyperlink>
      <w:r w:rsidR="00E14256" w:rsidRPr="00D95B5D">
        <w:rPr>
          <w:b w:val="0"/>
          <w:bCs w:val="0"/>
        </w:rPr>
        <w:t xml:space="preserve"> </w:t>
      </w:r>
      <w:r w:rsidR="00D95B5D" w:rsidRPr="00D95B5D">
        <w:rPr>
          <w:b w:val="0"/>
          <w:bCs w:val="0"/>
        </w:rPr>
        <w:t xml:space="preserve">and </w:t>
      </w:r>
      <w:r w:rsidR="00D95B5D">
        <w:rPr>
          <w:b w:val="0"/>
          <w:bCs w:val="0"/>
        </w:rPr>
        <w:t xml:space="preserve">CHP 04.01.50 </w:t>
      </w:r>
      <w:r w:rsidR="00E14256" w:rsidRPr="00E14256">
        <w:rPr>
          <w:b w:val="0"/>
          <w:bCs w:val="0"/>
        </w:rPr>
        <w:t>Procedures for Awarding Merit and Performance Raises to Texas State Faculty</w:t>
      </w:r>
      <w:r w:rsidR="00E14256" w:rsidRPr="00E14256">
        <w:rPr>
          <w:b w:val="0"/>
          <w:bCs w:val="0"/>
          <w:spacing w:val="-6"/>
        </w:rPr>
        <w:t xml:space="preserve"> </w:t>
      </w:r>
      <w:r w:rsidR="00E14256" w:rsidRPr="00E14256">
        <w:rPr>
          <w:b w:val="0"/>
          <w:bCs w:val="0"/>
        </w:rPr>
        <w:t>Members</w:t>
      </w:r>
      <w:r w:rsidR="00171D98">
        <w:rPr>
          <w:b w:val="0"/>
          <w:bCs w:val="0"/>
        </w:rPr>
        <w:t>.</w:t>
      </w:r>
    </w:p>
    <w:p w14:paraId="54AD0929" w14:textId="0753C57B" w:rsidR="006F5A5D" w:rsidRDefault="003A47CC" w:rsidP="003A47CC">
      <w:pPr>
        <w:pStyle w:val="Heading1"/>
        <w:tabs>
          <w:tab w:val="left" w:pos="1170"/>
        </w:tabs>
        <w:spacing w:before="0" w:after="120" w:line="276" w:lineRule="auto"/>
        <w:ind w:left="360" w:right="20"/>
        <w:rPr>
          <w:b w:val="0"/>
          <w:bCs w:val="0"/>
        </w:rPr>
      </w:pPr>
      <w:r>
        <w:rPr>
          <w:b w:val="0"/>
          <w:bCs w:val="0"/>
        </w:rPr>
        <w:t>01.04</w:t>
      </w:r>
      <w:r w:rsidR="00666138">
        <w:rPr>
          <w:b w:val="0"/>
          <w:bCs w:val="0"/>
        </w:rPr>
        <w:t>.</w:t>
      </w:r>
      <w:r>
        <w:rPr>
          <w:b w:val="0"/>
          <w:bCs w:val="0"/>
        </w:rPr>
        <w:tab/>
      </w:r>
      <w:r w:rsidR="006F5A5D">
        <w:rPr>
          <w:b w:val="0"/>
          <w:bCs w:val="0"/>
        </w:rPr>
        <w:t xml:space="preserve">This policy and procedures </w:t>
      </w:r>
      <w:r w:rsidR="00681A20">
        <w:rPr>
          <w:b w:val="0"/>
          <w:bCs w:val="0"/>
        </w:rPr>
        <w:t>statement intends to outline fair and unbiased evaluation of the performance of all faculty based on</w:t>
      </w:r>
      <w:r w:rsidR="00F601E0">
        <w:rPr>
          <w:b w:val="0"/>
          <w:bCs w:val="0"/>
        </w:rPr>
        <w:t xml:space="preserve"> expectations of the university and of our </w:t>
      </w:r>
      <w:r w:rsidR="00725233">
        <w:rPr>
          <w:b w:val="0"/>
          <w:bCs w:val="0"/>
        </w:rPr>
        <w:t xml:space="preserve">SOHA </w:t>
      </w:r>
      <w:r w:rsidR="00F601E0">
        <w:rPr>
          <w:b w:val="0"/>
          <w:bCs w:val="0"/>
        </w:rPr>
        <w:t xml:space="preserve">Personnel Committee in the areas of teaching, service, scholarly activity, and collegiality. </w:t>
      </w:r>
    </w:p>
    <w:p w14:paraId="36CBD08D" w14:textId="107540AF" w:rsidR="00DE7EA9" w:rsidRDefault="007A20B2" w:rsidP="007A20B2">
      <w:pPr>
        <w:pStyle w:val="Heading1"/>
        <w:spacing w:before="0" w:after="120" w:line="360" w:lineRule="auto"/>
        <w:ind w:left="0" w:right="3269"/>
      </w:pPr>
      <w:r>
        <w:t>02.</w:t>
      </w:r>
      <w:r>
        <w:tab/>
      </w:r>
      <w:r w:rsidR="00DE3F8D">
        <w:t>DEFINITIONS</w:t>
      </w:r>
    </w:p>
    <w:p w14:paraId="015F3D91" w14:textId="33CBC55E" w:rsidR="00DE7EA9" w:rsidRDefault="007A20B2" w:rsidP="00666138">
      <w:pPr>
        <w:pStyle w:val="Heading1"/>
        <w:tabs>
          <w:tab w:val="left" w:pos="1170"/>
        </w:tabs>
        <w:spacing w:before="0" w:after="120" w:line="276" w:lineRule="auto"/>
        <w:ind w:left="1170" w:right="20" w:hanging="810"/>
        <w:rPr>
          <w:b w:val="0"/>
          <w:bCs w:val="0"/>
        </w:rPr>
      </w:pPr>
      <w:r>
        <w:rPr>
          <w:b w:val="0"/>
          <w:bCs w:val="0"/>
        </w:rPr>
        <w:t>02.01</w:t>
      </w:r>
      <w:r w:rsidR="00666138">
        <w:rPr>
          <w:b w:val="0"/>
          <w:bCs w:val="0"/>
        </w:rPr>
        <w:t>.</w:t>
      </w:r>
      <w:r>
        <w:rPr>
          <w:b w:val="0"/>
          <w:bCs w:val="0"/>
        </w:rPr>
        <w:tab/>
      </w:r>
      <w:r w:rsidR="00061F9B">
        <w:rPr>
          <w:b w:val="0"/>
          <w:bCs w:val="0"/>
        </w:rPr>
        <w:t>No unique definitions exist for SOHA outside what is already defined by the University and College of Health Professions.</w:t>
      </w:r>
    </w:p>
    <w:p w14:paraId="4802DB8B" w14:textId="7A7E8806" w:rsidR="003F5562" w:rsidRDefault="007A20B2" w:rsidP="00666138">
      <w:pPr>
        <w:pStyle w:val="Heading1"/>
        <w:tabs>
          <w:tab w:val="left" w:pos="1170"/>
        </w:tabs>
        <w:spacing w:before="0" w:after="120" w:line="276" w:lineRule="auto"/>
        <w:ind w:left="1170" w:right="20" w:hanging="810"/>
        <w:rPr>
          <w:b w:val="0"/>
          <w:bCs w:val="0"/>
        </w:rPr>
      </w:pPr>
      <w:r>
        <w:rPr>
          <w:b w:val="0"/>
          <w:bCs w:val="0"/>
        </w:rPr>
        <w:t>02.02</w:t>
      </w:r>
      <w:r w:rsidR="00666138">
        <w:rPr>
          <w:b w:val="0"/>
          <w:bCs w:val="0"/>
        </w:rPr>
        <w:t>.</w:t>
      </w:r>
      <w:r w:rsidR="00666138">
        <w:rPr>
          <w:b w:val="0"/>
          <w:bCs w:val="0"/>
        </w:rPr>
        <w:tab/>
      </w:r>
      <w:r w:rsidR="00001662">
        <w:rPr>
          <w:b w:val="0"/>
          <w:bCs w:val="0"/>
        </w:rPr>
        <w:t xml:space="preserve">Outside of responsibilities </w:t>
      </w:r>
      <w:r w:rsidR="00477AF1">
        <w:rPr>
          <w:b w:val="0"/>
          <w:bCs w:val="0"/>
        </w:rPr>
        <w:t xml:space="preserve">incident to employment at Texas State University, </w:t>
      </w:r>
      <w:r w:rsidR="003F5562">
        <w:rPr>
          <w:b w:val="0"/>
          <w:bCs w:val="0"/>
        </w:rPr>
        <w:t xml:space="preserve">SOHA fully supports </w:t>
      </w:r>
      <w:r w:rsidR="004B2490">
        <w:rPr>
          <w:b w:val="0"/>
          <w:bCs w:val="0"/>
        </w:rPr>
        <w:t xml:space="preserve">professional development activities, </w:t>
      </w:r>
      <w:r w:rsidR="00001662">
        <w:rPr>
          <w:b w:val="0"/>
          <w:bCs w:val="0"/>
        </w:rPr>
        <w:t xml:space="preserve">professional and community </w:t>
      </w:r>
      <w:r w:rsidR="004B2490">
        <w:rPr>
          <w:b w:val="0"/>
          <w:bCs w:val="0"/>
        </w:rPr>
        <w:t xml:space="preserve">service obligations, and external employment that do not present a conflict of interest or conflict of commitment. </w:t>
      </w:r>
    </w:p>
    <w:p w14:paraId="4D28599E" w14:textId="36939F3E" w:rsidR="00477AF1" w:rsidRDefault="00666138" w:rsidP="00666138">
      <w:pPr>
        <w:pStyle w:val="Heading1"/>
        <w:spacing w:before="0" w:after="120" w:line="360" w:lineRule="auto"/>
        <w:ind w:left="0" w:right="20"/>
      </w:pPr>
      <w:r>
        <w:t>03.</w:t>
      </w:r>
      <w:r>
        <w:tab/>
      </w:r>
      <w:r w:rsidR="00DE3F8D">
        <w:t xml:space="preserve">DEPARTMENTAL </w:t>
      </w:r>
      <w:r w:rsidR="0038032C">
        <w:t>PROCEDURE</w:t>
      </w:r>
      <w:r w:rsidR="008B7C8F">
        <w:t xml:space="preserve"> (PERFORMANCE EVALUATION)</w:t>
      </w:r>
    </w:p>
    <w:p w14:paraId="76EFF1DE" w14:textId="5EB6A17B" w:rsidR="00AE15B2" w:rsidRDefault="00666138" w:rsidP="00666138">
      <w:pPr>
        <w:pStyle w:val="Heading1"/>
        <w:tabs>
          <w:tab w:val="left" w:pos="1170"/>
        </w:tabs>
        <w:spacing w:before="0" w:after="120" w:line="276" w:lineRule="auto"/>
        <w:ind w:left="1170" w:right="20" w:hanging="810"/>
        <w:rPr>
          <w:b w:val="0"/>
          <w:bCs w:val="0"/>
        </w:rPr>
      </w:pPr>
      <w:r>
        <w:rPr>
          <w:b w:val="0"/>
          <w:bCs w:val="0"/>
        </w:rPr>
        <w:t>03.01.</w:t>
      </w:r>
      <w:r>
        <w:rPr>
          <w:b w:val="0"/>
          <w:bCs w:val="0"/>
        </w:rPr>
        <w:tab/>
      </w:r>
      <w:r w:rsidR="00465211">
        <w:rPr>
          <w:b w:val="0"/>
          <w:bCs w:val="0"/>
        </w:rPr>
        <w:t xml:space="preserve">In February of each year, the Personnel Committee with perform a performance evaluation of each faculty member, regardless of </w:t>
      </w:r>
      <w:r w:rsidR="002B6085">
        <w:rPr>
          <w:b w:val="0"/>
          <w:bCs w:val="0"/>
        </w:rPr>
        <w:t xml:space="preserve">type of </w:t>
      </w:r>
      <w:r w:rsidR="00465211">
        <w:rPr>
          <w:b w:val="0"/>
          <w:bCs w:val="0"/>
        </w:rPr>
        <w:t>appointment</w:t>
      </w:r>
      <w:r w:rsidR="00B2373F">
        <w:rPr>
          <w:b w:val="0"/>
          <w:bCs w:val="0"/>
        </w:rPr>
        <w:t>, for the previous calendar year (January – December)</w:t>
      </w:r>
      <w:r w:rsidR="00465211">
        <w:rPr>
          <w:b w:val="0"/>
          <w:bCs w:val="0"/>
        </w:rPr>
        <w:t>.</w:t>
      </w:r>
      <w:r w:rsidR="00BC70E9">
        <w:rPr>
          <w:b w:val="0"/>
          <w:bCs w:val="0"/>
        </w:rPr>
        <w:t xml:space="preserve"> </w:t>
      </w:r>
      <w:r w:rsidR="004A4C0E">
        <w:rPr>
          <w:b w:val="0"/>
          <w:bCs w:val="0"/>
        </w:rPr>
        <w:t>Comments and observations from the performance evaluation may be used in the awarding of merit.</w:t>
      </w:r>
      <w:r w:rsidR="00EB78EF">
        <w:rPr>
          <w:b w:val="0"/>
          <w:bCs w:val="0"/>
        </w:rPr>
        <w:t xml:space="preserve"> Comments from the Annual Evaluation may also be used in the reappointment process for tenure-track faculty.</w:t>
      </w:r>
    </w:p>
    <w:p w14:paraId="7D6077CB" w14:textId="753973EF" w:rsidR="0026290E" w:rsidRDefault="00666138" w:rsidP="00666138">
      <w:pPr>
        <w:pStyle w:val="Heading1"/>
        <w:tabs>
          <w:tab w:val="left" w:pos="1170"/>
        </w:tabs>
        <w:spacing w:before="0" w:after="120" w:line="276" w:lineRule="auto"/>
        <w:ind w:left="1170" w:right="20" w:hanging="810"/>
        <w:rPr>
          <w:b w:val="0"/>
          <w:bCs w:val="0"/>
        </w:rPr>
      </w:pPr>
      <w:r>
        <w:rPr>
          <w:b w:val="0"/>
          <w:bCs w:val="0"/>
        </w:rPr>
        <w:t>03.02.</w:t>
      </w:r>
      <w:r>
        <w:rPr>
          <w:b w:val="0"/>
          <w:bCs w:val="0"/>
        </w:rPr>
        <w:tab/>
      </w:r>
      <w:r w:rsidR="0026290E">
        <w:rPr>
          <w:b w:val="0"/>
          <w:bCs w:val="0"/>
        </w:rPr>
        <w:t>SOHA faculty should strive to update information in Faculty Qualifications (Digital Measures) by December 31</w:t>
      </w:r>
      <w:r w:rsidR="0026290E" w:rsidRPr="0026290E">
        <w:rPr>
          <w:b w:val="0"/>
          <w:bCs w:val="0"/>
          <w:vertAlign w:val="superscript"/>
        </w:rPr>
        <w:t>st</w:t>
      </w:r>
      <w:r w:rsidR="0026290E">
        <w:rPr>
          <w:b w:val="0"/>
          <w:bCs w:val="0"/>
        </w:rPr>
        <w:t>, but this date may slip to sometime in January depending on the University’s evaluation cycle</w:t>
      </w:r>
      <w:r w:rsidR="004F0920">
        <w:rPr>
          <w:b w:val="0"/>
          <w:bCs w:val="0"/>
        </w:rPr>
        <w:t xml:space="preserve"> found </w:t>
      </w:r>
      <w:hyperlink r:id="rId13" w:history="1">
        <w:r w:rsidR="004F0920" w:rsidRPr="004F0920">
          <w:rPr>
            <w:rStyle w:val="Hyperlink"/>
            <w:b w:val="0"/>
            <w:bCs w:val="0"/>
          </w:rPr>
          <w:t>at this link</w:t>
        </w:r>
      </w:hyperlink>
      <w:r w:rsidR="0026290E">
        <w:rPr>
          <w:b w:val="0"/>
          <w:bCs w:val="0"/>
        </w:rPr>
        <w:t>.</w:t>
      </w:r>
    </w:p>
    <w:p w14:paraId="1748F406" w14:textId="182F2531" w:rsidR="00DE3F8D" w:rsidRDefault="00666138" w:rsidP="00666138">
      <w:pPr>
        <w:pStyle w:val="Heading1"/>
        <w:tabs>
          <w:tab w:val="left" w:pos="1170"/>
        </w:tabs>
        <w:spacing w:before="0" w:after="120" w:line="276" w:lineRule="auto"/>
        <w:ind w:left="1170" w:right="20" w:hanging="810"/>
        <w:rPr>
          <w:b w:val="0"/>
          <w:bCs w:val="0"/>
        </w:rPr>
      </w:pPr>
      <w:r>
        <w:rPr>
          <w:b w:val="0"/>
          <w:bCs w:val="0"/>
        </w:rPr>
        <w:t>03.03.</w:t>
      </w:r>
      <w:r>
        <w:rPr>
          <w:b w:val="0"/>
          <w:bCs w:val="0"/>
        </w:rPr>
        <w:tab/>
      </w:r>
      <w:r w:rsidR="002B6085">
        <w:rPr>
          <w:b w:val="0"/>
          <w:bCs w:val="0"/>
        </w:rPr>
        <w:t xml:space="preserve">Members of the Personnel Committee will </w:t>
      </w:r>
      <w:r w:rsidR="00AE15B2">
        <w:rPr>
          <w:b w:val="0"/>
          <w:bCs w:val="0"/>
        </w:rPr>
        <w:t xml:space="preserve">independently </w:t>
      </w:r>
      <w:r w:rsidR="002B6085">
        <w:rPr>
          <w:b w:val="0"/>
          <w:bCs w:val="0"/>
        </w:rPr>
        <w:t>evaluate documentation provided by each faculty member from the Faculty Qualifications (</w:t>
      </w:r>
      <w:r w:rsidR="00F137C8">
        <w:rPr>
          <w:b w:val="0"/>
          <w:bCs w:val="0"/>
        </w:rPr>
        <w:t>Watermark, formerly Digital Measures</w:t>
      </w:r>
      <w:r w:rsidR="002B6085">
        <w:rPr>
          <w:b w:val="0"/>
          <w:bCs w:val="0"/>
        </w:rPr>
        <w:t>) system</w:t>
      </w:r>
      <w:r w:rsidR="00AE15B2">
        <w:rPr>
          <w:b w:val="0"/>
          <w:bCs w:val="0"/>
        </w:rPr>
        <w:t xml:space="preserve"> and </w:t>
      </w:r>
      <w:r w:rsidR="00AB7EAB">
        <w:rPr>
          <w:b w:val="0"/>
          <w:bCs w:val="0"/>
        </w:rPr>
        <w:t xml:space="preserve">combine it with university resources such as </w:t>
      </w:r>
      <w:r w:rsidR="00CA068A">
        <w:rPr>
          <w:b w:val="0"/>
          <w:bCs w:val="0"/>
        </w:rPr>
        <w:t>End of Course Critiques</w:t>
      </w:r>
      <w:r w:rsidR="00413388">
        <w:rPr>
          <w:b w:val="0"/>
          <w:bCs w:val="0"/>
        </w:rPr>
        <w:t xml:space="preserve"> from Canvas</w:t>
      </w:r>
      <w:r w:rsidR="00CA068A">
        <w:rPr>
          <w:b w:val="0"/>
          <w:bCs w:val="0"/>
        </w:rPr>
        <w:t xml:space="preserve">, DFW </w:t>
      </w:r>
      <w:r w:rsidR="00816F4D">
        <w:rPr>
          <w:b w:val="0"/>
          <w:bCs w:val="0"/>
        </w:rPr>
        <w:t>and the Grade Distribution reports</w:t>
      </w:r>
      <w:r w:rsidR="00CA068A">
        <w:rPr>
          <w:b w:val="0"/>
          <w:bCs w:val="0"/>
        </w:rPr>
        <w:t xml:space="preserve"> from </w:t>
      </w:r>
      <w:proofErr w:type="spellStart"/>
      <w:r w:rsidR="00CA068A">
        <w:rPr>
          <w:b w:val="0"/>
          <w:bCs w:val="0"/>
        </w:rPr>
        <w:lastRenderedPageBreak/>
        <w:t>CatStats</w:t>
      </w:r>
      <w:proofErr w:type="spellEnd"/>
      <w:r w:rsidR="00816F4D">
        <w:rPr>
          <w:b w:val="0"/>
          <w:bCs w:val="0"/>
        </w:rPr>
        <w:t>,</w:t>
      </w:r>
      <w:r w:rsidR="00CA068A">
        <w:rPr>
          <w:b w:val="0"/>
          <w:bCs w:val="0"/>
        </w:rPr>
        <w:t xml:space="preserve"> </w:t>
      </w:r>
      <w:r w:rsidR="00816F4D">
        <w:rPr>
          <w:b w:val="0"/>
          <w:bCs w:val="0"/>
        </w:rPr>
        <w:t>and Service Obligation spreadsheet on the SOHA Teams site.</w:t>
      </w:r>
      <w:r w:rsidR="00E4137E">
        <w:rPr>
          <w:b w:val="0"/>
          <w:bCs w:val="0"/>
        </w:rPr>
        <w:t xml:space="preserve"> Members of the </w:t>
      </w:r>
      <w:r w:rsidR="007A20B2">
        <w:rPr>
          <w:b w:val="0"/>
          <w:bCs w:val="0"/>
        </w:rPr>
        <w:t>p</w:t>
      </w:r>
      <w:r w:rsidR="00E4137E">
        <w:rPr>
          <w:b w:val="0"/>
          <w:bCs w:val="0"/>
        </w:rPr>
        <w:t>ersonnel Committee</w:t>
      </w:r>
      <w:r w:rsidR="007A20B2">
        <w:rPr>
          <w:b w:val="0"/>
          <w:bCs w:val="0"/>
        </w:rPr>
        <w:t xml:space="preserve"> </w:t>
      </w:r>
      <w:r w:rsidR="00ED530E">
        <w:rPr>
          <w:b w:val="0"/>
          <w:bCs w:val="0"/>
        </w:rPr>
        <w:t xml:space="preserve">will prepare recommendations to the </w:t>
      </w:r>
      <w:r w:rsidR="00E17F5D">
        <w:rPr>
          <w:b w:val="0"/>
          <w:bCs w:val="0"/>
        </w:rPr>
        <w:t>Chair of the Personnel Committee</w:t>
      </w:r>
      <w:r w:rsidR="00ED530E">
        <w:rPr>
          <w:b w:val="0"/>
          <w:bCs w:val="0"/>
        </w:rPr>
        <w:t xml:space="preserve"> by February 15</w:t>
      </w:r>
      <w:r w:rsidR="00ED530E" w:rsidRPr="00ED530E">
        <w:rPr>
          <w:b w:val="0"/>
          <w:bCs w:val="0"/>
          <w:vertAlign w:val="superscript"/>
        </w:rPr>
        <w:t>th</w:t>
      </w:r>
      <w:r w:rsidR="00ED530E">
        <w:rPr>
          <w:b w:val="0"/>
          <w:bCs w:val="0"/>
        </w:rPr>
        <w:t xml:space="preserve">. </w:t>
      </w:r>
      <w:r w:rsidR="003A27C2">
        <w:rPr>
          <w:b w:val="0"/>
          <w:bCs w:val="0"/>
        </w:rPr>
        <w:t>The PC and SOHA Director will meet</w:t>
      </w:r>
      <w:r w:rsidR="001C2DF6">
        <w:rPr>
          <w:b w:val="0"/>
          <w:bCs w:val="0"/>
        </w:rPr>
        <w:t xml:space="preserve"> by February 25</w:t>
      </w:r>
      <w:r w:rsidR="001C2DF6" w:rsidRPr="001C2DF6">
        <w:rPr>
          <w:b w:val="0"/>
          <w:bCs w:val="0"/>
          <w:vertAlign w:val="superscript"/>
        </w:rPr>
        <w:t>th</w:t>
      </w:r>
      <w:r w:rsidR="006056B9">
        <w:rPr>
          <w:b w:val="0"/>
          <w:bCs w:val="0"/>
        </w:rPr>
        <w:t>.</w:t>
      </w:r>
    </w:p>
    <w:p w14:paraId="5E290370" w14:textId="6BD9E471" w:rsidR="0019751C" w:rsidRDefault="00666138" w:rsidP="00666138">
      <w:pPr>
        <w:pStyle w:val="Heading1"/>
        <w:tabs>
          <w:tab w:val="left" w:pos="1170"/>
        </w:tabs>
        <w:spacing w:before="0" w:after="120" w:line="276" w:lineRule="auto"/>
        <w:ind w:left="1170" w:right="20" w:hanging="810"/>
        <w:rPr>
          <w:b w:val="0"/>
          <w:bCs w:val="0"/>
        </w:rPr>
      </w:pPr>
      <w:r>
        <w:rPr>
          <w:b w:val="0"/>
          <w:bCs w:val="0"/>
        </w:rPr>
        <w:t>03.04.</w:t>
      </w:r>
      <w:r>
        <w:rPr>
          <w:b w:val="0"/>
          <w:bCs w:val="0"/>
        </w:rPr>
        <w:tab/>
      </w:r>
      <w:r w:rsidR="0019751C">
        <w:rPr>
          <w:b w:val="0"/>
          <w:bCs w:val="0"/>
        </w:rPr>
        <w:t xml:space="preserve">The </w:t>
      </w:r>
      <w:proofErr w:type="gramStart"/>
      <w:r w:rsidR="0019751C">
        <w:rPr>
          <w:b w:val="0"/>
          <w:bCs w:val="0"/>
        </w:rPr>
        <w:t>School</w:t>
      </w:r>
      <w:proofErr w:type="gramEnd"/>
      <w:r w:rsidR="0019751C">
        <w:rPr>
          <w:b w:val="0"/>
          <w:bCs w:val="0"/>
        </w:rPr>
        <w:t xml:space="preserve"> Director will meet with each faculty member to discuss the performance evaluation by February 28</w:t>
      </w:r>
      <w:r w:rsidR="0019751C" w:rsidRPr="0019751C">
        <w:rPr>
          <w:b w:val="0"/>
          <w:bCs w:val="0"/>
          <w:vertAlign w:val="superscript"/>
        </w:rPr>
        <w:t>th</w:t>
      </w:r>
      <w:r w:rsidR="0019751C">
        <w:rPr>
          <w:b w:val="0"/>
          <w:bCs w:val="0"/>
        </w:rPr>
        <w:t xml:space="preserve">. </w:t>
      </w:r>
    </w:p>
    <w:p w14:paraId="6662EAD5" w14:textId="6D11AB40" w:rsidR="0006423A" w:rsidRDefault="00E9469B" w:rsidP="00E9469B">
      <w:pPr>
        <w:pStyle w:val="Heading1"/>
        <w:tabs>
          <w:tab w:val="left" w:pos="1170"/>
        </w:tabs>
        <w:spacing w:before="0" w:after="120" w:line="276" w:lineRule="auto"/>
        <w:ind w:left="1170" w:right="20" w:hanging="810"/>
        <w:rPr>
          <w:b w:val="0"/>
          <w:bCs w:val="0"/>
        </w:rPr>
      </w:pPr>
      <w:r>
        <w:rPr>
          <w:b w:val="0"/>
          <w:bCs w:val="0"/>
        </w:rPr>
        <w:t>03.05.</w:t>
      </w:r>
      <w:r>
        <w:rPr>
          <w:b w:val="0"/>
          <w:bCs w:val="0"/>
        </w:rPr>
        <w:tab/>
      </w:r>
      <w:r w:rsidR="0006423A">
        <w:rPr>
          <w:b w:val="0"/>
          <w:bCs w:val="0"/>
        </w:rPr>
        <w:t xml:space="preserve">Performance evaluation will be based on university expectations based on the </w:t>
      </w:r>
      <w:r w:rsidR="00A5087B">
        <w:rPr>
          <w:b w:val="0"/>
          <w:bCs w:val="0"/>
        </w:rPr>
        <w:t xml:space="preserve">faculty appointment and SOHA expectations based on </w:t>
      </w:r>
      <w:r w:rsidR="001D6807">
        <w:rPr>
          <w:b w:val="0"/>
          <w:bCs w:val="0"/>
        </w:rPr>
        <w:t>professional development.</w:t>
      </w:r>
    </w:p>
    <w:p w14:paraId="0C6DED12" w14:textId="2913FA64" w:rsidR="00674BA0" w:rsidRDefault="00E9469B" w:rsidP="00967DB6">
      <w:pPr>
        <w:pStyle w:val="Heading1"/>
        <w:tabs>
          <w:tab w:val="left" w:pos="1620"/>
        </w:tabs>
        <w:spacing w:before="0" w:after="120" w:line="276" w:lineRule="auto"/>
        <w:ind w:left="1620" w:right="20" w:hanging="450"/>
        <w:rPr>
          <w:b w:val="0"/>
          <w:bCs w:val="0"/>
        </w:rPr>
      </w:pPr>
      <w:r>
        <w:rPr>
          <w:b w:val="0"/>
          <w:bCs w:val="0"/>
        </w:rPr>
        <w:t>a.</w:t>
      </w:r>
      <w:r>
        <w:rPr>
          <w:b w:val="0"/>
          <w:bCs w:val="0"/>
        </w:rPr>
        <w:tab/>
      </w:r>
      <w:r w:rsidR="00674BA0">
        <w:rPr>
          <w:b w:val="0"/>
          <w:bCs w:val="0"/>
        </w:rPr>
        <w:t xml:space="preserve">Per course </w:t>
      </w:r>
      <w:r w:rsidR="0023021A">
        <w:rPr>
          <w:b w:val="0"/>
          <w:bCs w:val="0"/>
        </w:rPr>
        <w:t>L</w:t>
      </w:r>
      <w:r w:rsidR="00674BA0">
        <w:rPr>
          <w:b w:val="0"/>
          <w:bCs w:val="0"/>
        </w:rPr>
        <w:t>ecturers</w:t>
      </w:r>
      <w:r w:rsidR="003F52C7">
        <w:rPr>
          <w:b w:val="0"/>
          <w:bCs w:val="0"/>
        </w:rPr>
        <w:t>, evaluation shall be based on teaching, service OR scholarly activity, and collegiality.</w:t>
      </w:r>
    </w:p>
    <w:p w14:paraId="3908387C" w14:textId="5A677D60" w:rsidR="003F52C7" w:rsidRDefault="00E9469B" w:rsidP="00967DB6">
      <w:pPr>
        <w:pStyle w:val="Heading1"/>
        <w:tabs>
          <w:tab w:val="left" w:pos="1620"/>
        </w:tabs>
        <w:spacing w:before="0" w:after="120" w:line="276" w:lineRule="auto"/>
        <w:ind w:left="1620" w:right="20" w:hanging="450"/>
        <w:rPr>
          <w:b w:val="0"/>
          <w:bCs w:val="0"/>
        </w:rPr>
      </w:pPr>
      <w:r>
        <w:rPr>
          <w:b w:val="0"/>
          <w:bCs w:val="0"/>
        </w:rPr>
        <w:t>b.</w:t>
      </w:r>
      <w:r>
        <w:rPr>
          <w:b w:val="0"/>
          <w:bCs w:val="0"/>
        </w:rPr>
        <w:tab/>
      </w:r>
      <w:r w:rsidR="0023021A">
        <w:rPr>
          <w:b w:val="0"/>
          <w:bCs w:val="0"/>
        </w:rPr>
        <w:t xml:space="preserve">Assistant Professors </w:t>
      </w:r>
      <w:r w:rsidR="00614959">
        <w:rPr>
          <w:b w:val="0"/>
          <w:bCs w:val="0"/>
        </w:rPr>
        <w:t xml:space="preserve">(and </w:t>
      </w:r>
      <w:r w:rsidR="005857C7">
        <w:rPr>
          <w:b w:val="0"/>
          <w:bCs w:val="0"/>
        </w:rPr>
        <w:t xml:space="preserve">Assistant Professors of Practice) </w:t>
      </w:r>
      <w:r w:rsidR="0023021A">
        <w:rPr>
          <w:b w:val="0"/>
          <w:bCs w:val="0"/>
        </w:rPr>
        <w:t xml:space="preserve">will be evaluated on all four dimensions: Teaching, service, scholarly activity, and collegiality. </w:t>
      </w:r>
      <w:r w:rsidR="00E5597A">
        <w:rPr>
          <w:b w:val="0"/>
          <w:bCs w:val="0"/>
        </w:rPr>
        <w:t xml:space="preserve">The level of service for Assistant Professors will be limited and targeted to their level of seniority in the organization. </w:t>
      </w:r>
    </w:p>
    <w:p w14:paraId="7F119862" w14:textId="1E4E1990" w:rsidR="0019751C" w:rsidRDefault="00E9469B" w:rsidP="00967DB6">
      <w:pPr>
        <w:pStyle w:val="Heading1"/>
        <w:tabs>
          <w:tab w:val="left" w:pos="1620"/>
        </w:tabs>
        <w:spacing w:before="0" w:after="120" w:line="276" w:lineRule="auto"/>
        <w:ind w:left="1620" w:right="20" w:hanging="450"/>
        <w:rPr>
          <w:b w:val="0"/>
          <w:bCs w:val="0"/>
        </w:rPr>
      </w:pPr>
      <w:r>
        <w:rPr>
          <w:b w:val="0"/>
          <w:bCs w:val="0"/>
        </w:rPr>
        <w:t>c.</w:t>
      </w:r>
      <w:r>
        <w:rPr>
          <w:b w:val="0"/>
          <w:bCs w:val="0"/>
        </w:rPr>
        <w:tab/>
      </w:r>
      <w:r w:rsidR="0019751C">
        <w:rPr>
          <w:b w:val="0"/>
          <w:bCs w:val="0"/>
        </w:rPr>
        <w:t xml:space="preserve">Associate Professors </w:t>
      </w:r>
      <w:r w:rsidR="005857C7">
        <w:rPr>
          <w:b w:val="0"/>
          <w:bCs w:val="0"/>
        </w:rPr>
        <w:t xml:space="preserve">(and Associate Professors of Practice) </w:t>
      </w:r>
      <w:r w:rsidR="0019751C">
        <w:rPr>
          <w:b w:val="0"/>
          <w:bCs w:val="0"/>
        </w:rPr>
        <w:t>will be evaluated on all four dimensions: Teaching, service, scholarly activity, and collegiality. The level of service for Associate Professors will be targeted to their level of seniority in the organization.</w:t>
      </w:r>
      <w:r w:rsidR="007305AE">
        <w:rPr>
          <w:b w:val="0"/>
          <w:bCs w:val="0"/>
        </w:rPr>
        <w:t xml:space="preserve"> Tenured faculty will assume greater levels of leadership and service obligations in the organization at all levels. </w:t>
      </w:r>
    </w:p>
    <w:p w14:paraId="29E485C6" w14:textId="65D05081" w:rsidR="007305AE" w:rsidRDefault="00E9469B" w:rsidP="00967DB6">
      <w:pPr>
        <w:pStyle w:val="Heading1"/>
        <w:tabs>
          <w:tab w:val="left" w:pos="1620"/>
        </w:tabs>
        <w:spacing w:before="0" w:after="120" w:line="276" w:lineRule="auto"/>
        <w:ind w:left="1620" w:right="20" w:hanging="450"/>
        <w:rPr>
          <w:b w:val="0"/>
          <w:bCs w:val="0"/>
        </w:rPr>
      </w:pPr>
      <w:r>
        <w:rPr>
          <w:b w:val="0"/>
          <w:bCs w:val="0"/>
        </w:rPr>
        <w:t>d.</w:t>
      </w:r>
      <w:r>
        <w:rPr>
          <w:b w:val="0"/>
          <w:bCs w:val="0"/>
        </w:rPr>
        <w:tab/>
      </w:r>
      <w:r w:rsidR="007305AE">
        <w:rPr>
          <w:b w:val="0"/>
          <w:bCs w:val="0"/>
        </w:rPr>
        <w:t>Full Professors will be evaluated on all four dimensions: Teaching, service, scholarly activity, and collegiality. The level of service for Associate Professors will be targeted to their level of seniority in the organization. These faculty assume the greatest level of leadership and service obligations in the organization at all levels.</w:t>
      </w:r>
    </w:p>
    <w:p w14:paraId="437F9D65" w14:textId="3351B22A" w:rsidR="00841A17" w:rsidRDefault="00E9469B" w:rsidP="00E9469B">
      <w:pPr>
        <w:pStyle w:val="Heading1"/>
        <w:tabs>
          <w:tab w:val="left" w:pos="1170"/>
        </w:tabs>
        <w:spacing w:before="0" w:after="120" w:line="276" w:lineRule="auto"/>
        <w:ind w:left="1170" w:right="20" w:hanging="810"/>
        <w:rPr>
          <w:b w:val="0"/>
          <w:bCs w:val="0"/>
        </w:rPr>
      </w:pPr>
      <w:r>
        <w:rPr>
          <w:b w:val="0"/>
          <w:bCs w:val="0"/>
        </w:rPr>
        <w:t>03.06.</w:t>
      </w:r>
      <w:r>
        <w:rPr>
          <w:b w:val="0"/>
          <w:bCs w:val="0"/>
        </w:rPr>
        <w:tab/>
      </w:r>
      <w:r w:rsidR="002603E2">
        <w:rPr>
          <w:b w:val="0"/>
          <w:bCs w:val="0"/>
        </w:rPr>
        <w:t>Expectations for performance evaluations are as follows</w:t>
      </w:r>
      <w:r w:rsidR="007376ED">
        <w:rPr>
          <w:b w:val="0"/>
          <w:bCs w:val="0"/>
        </w:rPr>
        <w:t xml:space="preserve">. Faculty who </w:t>
      </w:r>
      <w:r w:rsidR="00C1665E">
        <w:rPr>
          <w:b w:val="0"/>
          <w:bCs w:val="0"/>
        </w:rPr>
        <w:t xml:space="preserve">consistently </w:t>
      </w:r>
      <w:r w:rsidR="007376ED">
        <w:rPr>
          <w:b w:val="0"/>
          <w:bCs w:val="0"/>
        </w:rPr>
        <w:t>meet or exceed</w:t>
      </w:r>
      <w:r w:rsidR="00051282">
        <w:rPr>
          <w:b w:val="0"/>
          <w:bCs w:val="0"/>
        </w:rPr>
        <w:t xml:space="preserve"> </w:t>
      </w:r>
      <w:r w:rsidR="00C1665E">
        <w:rPr>
          <w:b w:val="0"/>
          <w:bCs w:val="0"/>
        </w:rPr>
        <w:t>SOHA</w:t>
      </w:r>
      <w:r w:rsidR="00051282">
        <w:rPr>
          <w:b w:val="0"/>
          <w:bCs w:val="0"/>
        </w:rPr>
        <w:t xml:space="preserve"> expectations </w:t>
      </w:r>
      <w:r w:rsidR="00C1665E">
        <w:rPr>
          <w:b w:val="0"/>
          <w:bCs w:val="0"/>
        </w:rPr>
        <w:t>are eligible for reappointment</w:t>
      </w:r>
      <w:r w:rsidR="005A1475">
        <w:rPr>
          <w:b w:val="0"/>
          <w:bCs w:val="0"/>
        </w:rPr>
        <w:t xml:space="preserve"> and performance raises. Faculty performance below this line may cause SOHA leadership to consider whether reappointment is warranted</w:t>
      </w:r>
      <w:r w:rsidR="00DA4A0B">
        <w:rPr>
          <w:b w:val="0"/>
          <w:bCs w:val="0"/>
        </w:rPr>
        <w:t xml:space="preserve"> for all faculty appointments.</w:t>
      </w:r>
      <w:r w:rsidR="00254841">
        <w:rPr>
          <w:b w:val="0"/>
          <w:bCs w:val="0"/>
        </w:rPr>
        <w:t xml:space="preserve"> For faculty failing to meet </w:t>
      </w:r>
      <w:r w:rsidR="00185498">
        <w:rPr>
          <w:b w:val="0"/>
          <w:bCs w:val="0"/>
        </w:rPr>
        <w:t>expectations, see University PPS, paragraphs 07-12.</w:t>
      </w:r>
      <w:r w:rsidR="00705688">
        <w:rPr>
          <w:b w:val="0"/>
          <w:bCs w:val="0"/>
        </w:rPr>
        <w:t xml:space="preserve"> </w:t>
      </w:r>
      <w:r w:rsidR="00D7691D" w:rsidRPr="00D7691D">
        <w:rPr>
          <w:b w:val="0"/>
          <w:bCs w:val="0"/>
        </w:rPr>
        <w:t>(</w:t>
      </w:r>
      <w:proofErr w:type="gramStart"/>
      <w:r w:rsidR="00D7691D" w:rsidRPr="00D7691D">
        <w:rPr>
          <w:b w:val="0"/>
          <w:bCs w:val="0"/>
        </w:rPr>
        <w:t>values</w:t>
      </w:r>
      <w:proofErr w:type="gramEnd"/>
      <w:r w:rsidR="00D7691D" w:rsidRPr="00D7691D">
        <w:rPr>
          <w:b w:val="0"/>
          <w:bCs w:val="0"/>
        </w:rPr>
        <w:t xml:space="preserve"> shows are relative to merit: high = 2, medium = 1.5, low = 1, none = 0 – See merit section, below)</w:t>
      </w:r>
    </w:p>
    <w:p w14:paraId="63C7EB55" w14:textId="5BE03E23" w:rsidR="00051282" w:rsidRPr="00BF1C1F" w:rsidRDefault="00354D20" w:rsidP="00083B08">
      <w:pPr>
        <w:pStyle w:val="Heading1"/>
        <w:tabs>
          <w:tab w:val="left" w:pos="1620"/>
          <w:tab w:val="left" w:pos="5670"/>
          <w:tab w:val="left" w:pos="7110"/>
          <w:tab w:val="left" w:pos="8370"/>
        </w:tabs>
        <w:spacing w:before="0" w:after="120" w:line="276" w:lineRule="auto"/>
        <w:ind w:left="532" w:right="20"/>
        <w:rPr>
          <w:b w:val="0"/>
          <w:bCs w:val="0"/>
          <w:u w:val="single"/>
        </w:rPr>
      </w:pPr>
      <w:r>
        <w:rPr>
          <w:b w:val="0"/>
          <w:bCs w:val="0"/>
        </w:rPr>
        <w:tab/>
      </w:r>
      <w:r>
        <w:rPr>
          <w:b w:val="0"/>
          <w:bCs w:val="0"/>
        </w:rPr>
        <w:tab/>
      </w:r>
      <w:r w:rsidRPr="00BF1C1F">
        <w:rPr>
          <w:b w:val="0"/>
          <w:bCs w:val="0"/>
          <w:u w:val="single"/>
        </w:rPr>
        <w:t>Teaching</w:t>
      </w:r>
      <w:r w:rsidRPr="00BF1C1F">
        <w:rPr>
          <w:b w:val="0"/>
          <w:bCs w:val="0"/>
          <w:u w:val="single"/>
        </w:rPr>
        <w:tab/>
        <w:t>Service</w:t>
      </w:r>
      <w:r w:rsidRPr="00BF1C1F">
        <w:rPr>
          <w:b w:val="0"/>
          <w:bCs w:val="0"/>
          <w:u w:val="single"/>
        </w:rPr>
        <w:tab/>
        <w:t>Scholarship</w:t>
      </w:r>
    </w:p>
    <w:p w14:paraId="44BCA6B9" w14:textId="1EADBEC0" w:rsidR="00354D20" w:rsidRDefault="00354D20" w:rsidP="00083B08">
      <w:pPr>
        <w:pStyle w:val="Heading1"/>
        <w:tabs>
          <w:tab w:val="left" w:pos="1170"/>
          <w:tab w:val="left" w:pos="6030"/>
          <w:tab w:val="left" w:pos="7380"/>
          <w:tab w:val="left" w:pos="8730"/>
        </w:tabs>
        <w:spacing w:before="0" w:line="276" w:lineRule="auto"/>
        <w:ind w:left="533" w:right="14"/>
        <w:rPr>
          <w:b w:val="0"/>
          <w:bCs w:val="0"/>
        </w:rPr>
      </w:pPr>
      <w:r>
        <w:rPr>
          <w:b w:val="0"/>
          <w:bCs w:val="0"/>
        </w:rPr>
        <w:tab/>
      </w:r>
      <w:r w:rsidR="006C3405">
        <w:rPr>
          <w:b w:val="0"/>
          <w:bCs w:val="0"/>
        </w:rPr>
        <w:t>Exemplary</w:t>
      </w:r>
      <w:r w:rsidR="003B0078">
        <w:rPr>
          <w:b w:val="0"/>
          <w:bCs w:val="0"/>
        </w:rPr>
        <w:t xml:space="preserve">: </w:t>
      </w:r>
      <w:r>
        <w:rPr>
          <w:b w:val="0"/>
          <w:bCs w:val="0"/>
        </w:rPr>
        <w:t>Consistently exceeds expectations</w:t>
      </w:r>
      <w:r>
        <w:rPr>
          <w:b w:val="0"/>
          <w:bCs w:val="0"/>
        </w:rPr>
        <w:tab/>
      </w:r>
      <w:r w:rsidR="00DD16F5">
        <w:rPr>
          <w:b w:val="0"/>
          <w:bCs w:val="0"/>
        </w:rPr>
        <w:t>2</w:t>
      </w:r>
      <w:r w:rsidR="00CF0BCF">
        <w:rPr>
          <w:b w:val="0"/>
          <w:bCs w:val="0"/>
        </w:rPr>
        <w:tab/>
      </w:r>
      <w:r w:rsidR="00DD16F5">
        <w:rPr>
          <w:b w:val="0"/>
          <w:bCs w:val="0"/>
        </w:rPr>
        <w:t>2</w:t>
      </w:r>
      <w:r w:rsidR="00CF0BCF">
        <w:rPr>
          <w:b w:val="0"/>
          <w:bCs w:val="0"/>
        </w:rPr>
        <w:tab/>
      </w:r>
      <w:r w:rsidR="00DD16F5">
        <w:rPr>
          <w:b w:val="0"/>
          <w:bCs w:val="0"/>
        </w:rPr>
        <w:t>2</w:t>
      </w:r>
    </w:p>
    <w:p w14:paraId="0142E3A1" w14:textId="401FC594" w:rsidR="00CF0BCF" w:rsidRDefault="00CF0BCF" w:rsidP="00083B08">
      <w:pPr>
        <w:pStyle w:val="Heading1"/>
        <w:tabs>
          <w:tab w:val="left" w:pos="1170"/>
          <w:tab w:val="left" w:pos="6030"/>
          <w:tab w:val="left" w:pos="7380"/>
          <w:tab w:val="left" w:pos="8730"/>
        </w:tabs>
        <w:spacing w:before="0" w:line="276" w:lineRule="auto"/>
        <w:ind w:left="533" w:right="14"/>
        <w:rPr>
          <w:b w:val="0"/>
          <w:bCs w:val="0"/>
        </w:rPr>
      </w:pPr>
      <w:r>
        <w:rPr>
          <w:b w:val="0"/>
          <w:bCs w:val="0"/>
        </w:rPr>
        <w:tab/>
      </w:r>
      <w:r w:rsidR="006C3405">
        <w:rPr>
          <w:b w:val="0"/>
          <w:bCs w:val="0"/>
        </w:rPr>
        <w:t xml:space="preserve">Exceeds: </w:t>
      </w:r>
      <w:r w:rsidR="00BF7350">
        <w:rPr>
          <w:b w:val="0"/>
          <w:bCs w:val="0"/>
        </w:rPr>
        <w:t>Often</w:t>
      </w:r>
      <w:r>
        <w:rPr>
          <w:b w:val="0"/>
          <w:bCs w:val="0"/>
        </w:rPr>
        <w:t xml:space="preserve"> exceeds expectations</w:t>
      </w:r>
      <w:r>
        <w:rPr>
          <w:b w:val="0"/>
          <w:bCs w:val="0"/>
        </w:rPr>
        <w:tab/>
      </w:r>
      <w:r w:rsidR="00DD16F5">
        <w:rPr>
          <w:b w:val="0"/>
          <w:bCs w:val="0"/>
        </w:rPr>
        <w:t>1.5</w:t>
      </w:r>
      <w:r>
        <w:rPr>
          <w:b w:val="0"/>
          <w:bCs w:val="0"/>
        </w:rPr>
        <w:tab/>
      </w:r>
      <w:r w:rsidR="00DD16F5">
        <w:rPr>
          <w:b w:val="0"/>
          <w:bCs w:val="0"/>
        </w:rPr>
        <w:t>1.5</w:t>
      </w:r>
      <w:r>
        <w:rPr>
          <w:b w:val="0"/>
          <w:bCs w:val="0"/>
        </w:rPr>
        <w:tab/>
      </w:r>
      <w:r w:rsidR="00DD16F5">
        <w:rPr>
          <w:b w:val="0"/>
          <w:bCs w:val="0"/>
        </w:rPr>
        <w:t>1.5</w:t>
      </w:r>
    </w:p>
    <w:p w14:paraId="7FBAA729" w14:textId="018CFF6F" w:rsidR="00CF0BCF" w:rsidRDefault="00CF0BCF" w:rsidP="00083B08">
      <w:pPr>
        <w:pStyle w:val="Heading1"/>
        <w:tabs>
          <w:tab w:val="left" w:pos="1170"/>
          <w:tab w:val="left" w:pos="6030"/>
          <w:tab w:val="left" w:pos="7380"/>
          <w:tab w:val="left" w:pos="8730"/>
        </w:tabs>
        <w:spacing w:before="0" w:line="276" w:lineRule="auto"/>
        <w:ind w:left="533" w:right="14"/>
        <w:rPr>
          <w:b w:val="0"/>
          <w:bCs w:val="0"/>
        </w:rPr>
      </w:pPr>
      <w:r>
        <w:rPr>
          <w:b w:val="0"/>
          <w:bCs w:val="0"/>
        </w:rPr>
        <w:tab/>
      </w:r>
      <w:r w:rsidR="006C3405">
        <w:rPr>
          <w:b w:val="0"/>
          <w:bCs w:val="0"/>
        </w:rPr>
        <w:t xml:space="preserve">Meets: </w:t>
      </w:r>
      <w:r>
        <w:rPr>
          <w:b w:val="0"/>
          <w:bCs w:val="0"/>
        </w:rPr>
        <w:t>Consistently meets expectations</w:t>
      </w:r>
      <w:r>
        <w:rPr>
          <w:b w:val="0"/>
          <w:bCs w:val="0"/>
        </w:rPr>
        <w:tab/>
      </w:r>
      <w:r w:rsidR="0001101C">
        <w:rPr>
          <w:b w:val="0"/>
          <w:bCs w:val="0"/>
        </w:rPr>
        <w:t>1</w:t>
      </w:r>
      <w:r>
        <w:rPr>
          <w:b w:val="0"/>
          <w:bCs w:val="0"/>
        </w:rPr>
        <w:tab/>
      </w:r>
      <w:r w:rsidR="0001101C">
        <w:rPr>
          <w:b w:val="0"/>
          <w:bCs w:val="0"/>
        </w:rPr>
        <w:t>1</w:t>
      </w:r>
      <w:r>
        <w:rPr>
          <w:b w:val="0"/>
          <w:bCs w:val="0"/>
        </w:rPr>
        <w:tab/>
      </w:r>
      <w:r w:rsidR="0001101C">
        <w:rPr>
          <w:b w:val="0"/>
          <w:bCs w:val="0"/>
        </w:rPr>
        <w:t>1</w:t>
      </w:r>
    </w:p>
    <w:p w14:paraId="496AD8F9" w14:textId="1F204640" w:rsidR="00BF1C1F" w:rsidRDefault="00BF1C1F" w:rsidP="00083B08">
      <w:pPr>
        <w:pStyle w:val="Heading1"/>
        <w:tabs>
          <w:tab w:val="left" w:pos="1170"/>
          <w:tab w:val="left" w:pos="6030"/>
          <w:tab w:val="left" w:pos="7380"/>
          <w:tab w:val="left" w:pos="8730"/>
        </w:tabs>
        <w:spacing w:before="0" w:after="120" w:line="276" w:lineRule="auto"/>
        <w:ind w:left="533" w:right="14"/>
        <w:rPr>
          <w:b w:val="0"/>
          <w:bCs w:val="0"/>
        </w:rPr>
      </w:pPr>
      <w:r>
        <w:rPr>
          <w:b w:val="0"/>
          <w:bCs w:val="0"/>
        </w:rPr>
        <w:tab/>
        <w:t>Does not meet expectations</w:t>
      </w:r>
      <w:r>
        <w:rPr>
          <w:b w:val="0"/>
          <w:bCs w:val="0"/>
        </w:rPr>
        <w:tab/>
        <w:t>0</w:t>
      </w:r>
      <w:r>
        <w:rPr>
          <w:b w:val="0"/>
          <w:bCs w:val="0"/>
        </w:rPr>
        <w:tab/>
        <w:t>0</w:t>
      </w:r>
      <w:r>
        <w:rPr>
          <w:b w:val="0"/>
          <w:bCs w:val="0"/>
        </w:rPr>
        <w:tab/>
        <w:t>0</w:t>
      </w:r>
    </w:p>
    <w:p w14:paraId="3433D367" w14:textId="6242C94C" w:rsidR="00BF1C1F" w:rsidRDefault="00E9469B" w:rsidP="00E9469B">
      <w:pPr>
        <w:pStyle w:val="Heading1"/>
        <w:tabs>
          <w:tab w:val="left" w:pos="1170"/>
        </w:tabs>
        <w:spacing w:before="0" w:after="120" w:line="276" w:lineRule="auto"/>
        <w:ind w:left="360" w:right="20"/>
        <w:rPr>
          <w:b w:val="0"/>
          <w:bCs w:val="0"/>
        </w:rPr>
      </w:pPr>
      <w:r>
        <w:rPr>
          <w:b w:val="0"/>
          <w:bCs w:val="0"/>
        </w:rPr>
        <w:t>03.07.</w:t>
      </w:r>
      <w:r>
        <w:rPr>
          <w:b w:val="0"/>
          <w:bCs w:val="0"/>
        </w:rPr>
        <w:tab/>
      </w:r>
      <w:r w:rsidR="0039007D">
        <w:rPr>
          <w:b w:val="0"/>
          <w:bCs w:val="0"/>
        </w:rPr>
        <w:t xml:space="preserve">Graduate Faculty </w:t>
      </w:r>
      <w:r w:rsidR="004E099C">
        <w:rPr>
          <w:b w:val="0"/>
          <w:bCs w:val="0"/>
        </w:rPr>
        <w:t>must meet additional criteria:</w:t>
      </w:r>
    </w:p>
    <w:p w14:paraId="700C45AA" w14:textId="7C7173FF" w:rsidR="00AE5C07" w:rsidRDefault="00E9469B" w:rsidP="00E9469B">
      <w:pPr>
        <w:pStyle w:val="Heading1"/>
        <w:tabs>
          <w:tab w:val="left" w:pos="1620"/>
        </w:tabs>
        <w:spacing w:before="0" w:line="276" w:lineRule="auto"/>
        <w:ind w:left="1616" w:right="14" w:hanging="450"/>
        <w:rPr>
          <w:b w:val="0"/>
          <w:bCs w:val="0"/>
        </w:rPr>
      </w:pPr>
      <w:r>
        <w:rPr>
          <w:b w:val="0"/>
          <w:bCs w:val="0"/>
        </w:rPr>
        <w:t>a.</w:t>
      </w:r>
      <w:r>
        <w:rPr>
          <w:b w:val="0"/>
          <w:bCs w:val="0"/>
        </w:rPr>
        <w:tab/>
      </w:r>
      <w:r>
        <w:rPr>
          <w:b w:val="0"/>
          <w:bCs w:val="0"/>
        </w:rPr>
        <w:tab/>
      </w:r>
      <w:r w:rsidR="004E099C">
        <w:rPr>
          <w:b w:val="0"/>
          <w:bCs w:val="0"/>
        </w:rPr>
        <w:t>Possess a doctorate and a masters, one of which must be in healthcare administration or</w:t>
      </w:r>
      <w:r w:rsidR="00226B05">
        <w:rPr>
          <w:b w:val="0"/>
          <w:bCs w:val="0"/>
        </w:rPr>
        <w:t xml:space="preserve"> an approved field closely related to this discipline.</w:t>
      </w:r>
      <w:r w:rsidR="00C93C57">
        <w:rPr>
          <w:b w:val="0"/>
          <w:bCs w:val="0"/>
        </w:rPr>
        <w:t xml:space="preserve"> An exception to this is for clinical faculty who can demonstrate significant work experience in healthcare administration. </w:t>
      </w:r>
      <w:r w:rsidR="00973387">
        <w:rPr>
          <w:b w:val="0"/>
          <w:bCs w:val="0"/>
        </w:rPr>
        <w:t>See SOHA policy on Terminal Degrees.</w:t>
      </w:r>
    </w:p>
    <w:p w14:paraId="6F50BFEA" w14:textId="35325038" w:rsidR="00226B05" w:rsidRDefault="00E9469B" w:rsidP="00E9469B">
      <w:pPr>
        <w:pStyle w:val="Heading1"/>
        <w:tabs>
          <w:tab w:val="left" w:pos="1620"/>
        </w:tabs>
        <w:spacing w:before="0" w:line="276" w:lineRule="auto"/>
        <w:ind w:left="1616" w:right="14" w:hanging="450"/>
        <w:rPr>
          <w:b w:val="0"/>
          <w:bCs w:val="0"/>
        </w:rPr>
      </w:pPr>
      <w:r>
        <w:rPr>
          <w:b w:val="0"/>
          <w:bCs w:val="0"/>
        </w:rPr>
        <w:t>b.</w:t>
      </w:r>
      <w:r>
        <w:rPr>
          <w:b w:val="0"/>
          <w:bCs w:val="0"/>
        </w:rPr>
        <w:tab/>
      </w:r>
      <w:r w:rsidR="00226B05">
        <w:rPr>
          <w:b w:val="0"/>
          <w:bCs w:val="0"/>
        </w:rPr>
        <w:t>Document at least one year (2 consecutive semesters) of previous teaching experience at Texas State University.</w:t>
      </w:r>
    </w:p>
    <w:p w14:paraId="4E71B1CA" w14:textId="3E86D6D4" w:rsidR="004408E6" w:rsidRDefault="00E9469B" w:rsidP="00967DB6">
      <w:pPr>
        <w:pStyle w:val="Heading1"/>
        <w:tabs>
          <w:tab w:val="left" w:pos="1620"/>
        </w:tabs>
        <w:spacing w:before="0" w:line="276" w:lineRule="auto"/>
        <w:ind w:left="1616" w:right="14" w:hanging="450"/>
        <w:rPr>
          <w:b w:val="0"/>
          <w:bCs w:val="0"/>
        </w:rPr>
      </w:pPr>
      <w:r>
        <w:rPr>
          <w:b w:val="0"/>
          <w:bCs w:val="0"/>
        </w:rPr>
        <w:t>c.</w:t>
      </w:r>
      <w:r w:rsidR="004712BA">
        <w:rPr>
          <w:b w:val="0"/>
          <w:bCs w:val="0"/>
        </w:rPr>
        <w:tab/>
      </w:r>
      <w:r>
        <w:rPr>
          <w:b w:val="0"/>
          <w:bCs w:val="0"/>
        </w:rPr>
        <w:tab/>
      </w:r>
      <w:r w:rsidR="004408E6">
        <w:rPr>
          <w:b w:val="0"/>
          <w:bCs w:val="0"/>
        </w:rPr>
        <w:t>Show evidence of active research pertinent to the area of teaching specialization</w:t>
      </w:r>
      <w:r w:rsidR="00372297">
        <w:rPr>
          <w:b w:val="0"/>
          <w:bCs w:val="0"/>
        </w:rPr>
        <w:t xml:space="preserve">. </w:t>
      </w:r>
      <w:r w:rsidR="004408E6">
        <w:rPr>
          <w:b w:val="0"/>
          <w:bCs w:val="0"/>
        </w:rPr>
        <w:t xml:space="preserve">Evidence consists of published </w:t>
      </w:r>
      <w:r w:rsidR="008918A8">
        <w:rPr>
          <w:b w:val="0"/>
          <w:bCs w:val="0"/>
        </w:rPr>
        <w:t>works</w:t>
      </w:r>
      <w:r w:rsidR="004408E6">
        <w:rPr>
          <w:b w:val="0"/>
          <w:bCs w:val="0"/>
        </w:rPr>
        <w:t xml:space="preserve"> </w:t>
      </w:r>
      <w:r w:rsidR="008918A8">
        <w:rPr>
          <w:b w:val="0"/>
          <w:bCs w:val="0"/>
        </w:rPr>
        <w:t>that meet the elements defined in the SOHA T&amp;P policy.</w:t>
      </w:r>
    </w:p>
    <w:p w14:paraId="74209784" w14:textId="4CA3B3E6" w:rsidR="00C22FD8" w:rsidRDefault="00967DB6" w:rsidP="00967DB6">
      <w:pPr>
        <w:pStyle w:val="Heading1"/>
        <w:tabs>
          <w:tab w:val="left" w:pos="1620"/>
        </w:tabs>
        <w:spacing w:before="0" w:line="276" w:lineRule="auto"/>
        <w:ind w:left="1616" w:right="14" w:hanging="450"/>
        <w:rPr>
          <w:b w:val="0"/>
          <w:bCs w:val="0"/>
        </w:rPr>
      </w:pPr>
      <w:r>
        <w:rPr>
          <w:b w:val="0"/>
          <w:bCs w:val="0"/>
        </w:rPr>
        <w:lastRenderedPageBreak/>
        <w:t>d</w:t>
      </w:r>
      <w:r w:rsidR="00E9469B">
        <w:rPr>
          <w:b w:val="0"/>
          <w:bCs w:val="0"/>
        </w:rPr>
        <w:t>.</w:t>
      </w:r>
      <w:r w:rsidR="00E9469B">
        <w:rPr>
          <w:b w:val="0"/>
          <w:bCs w:val="0"/>
        </w:rPr>
        <w:tab/>
      </w:r>
      <w:r w:rsidR="00C22FD8">
        <w:rPr>
          <w:b w:val="0"/>
          <w:bCs w:val="0"/>
        </w:rPr>
        <w:t>Demonstrate service to the profession through membership and participation in professional societies.</w:t>
      </w:r>
    </w:p>
    <w:p w14:paraId="1A2456F1" w14:textId="1D307868" w:rsidR="00C22FD8" w:rsidRDefault="00967DB6" w:rsidP="00967DB6">
      <w:pPr>
        <w:pStyle w:val="Heading1"/>
        <w:tabs>
          <w:tab w:val="left" w:pos="1620"/>
        </w:tabs>
        <w:spacing w:before="0" w:after="120" w:line="276" w:lineRule="auto"/>
        <w:ind w:left="1616" w:right="20" w:hanging="446"/>
        <w:rPr>
          <w:b w:val="0"/>
          <w:bCs w:val="0"/>
        </w:rPr>
      </w:pPr>
      <w:r>
        <w:rPr>
          <w:b w:val="0"/>
          <w:bCs w:val="0"/>
        </w:rPr>
        <w:t>e.</w:t>
      </w:r>
      <w:r>
        <w:rPr>
          <w:b w:val="0"/>
          <w:bCs w:val="0"/>
        </w:rPr>
        <w:tab/>
      </w:r>
      <w:r w:rsidR="00C22FD8">
        <w:rPr>
          <w:b w:val="0"/>
          <w:bCs w:val="0"/>
        </w:rPr>
        <w:t>Demonstrate currency in the field and a commitment to expanding personal knowledge by participating in relevant continuing education programs at the regional, state, or national levels.</w:t>
      </w:r>
    </w:p>
    <w:p w14:paraId="162E8964" w14:textId="242E9689" w:rsidR="00C93C57" w:rsidRDefault="00CE1223" w:rsidP="00CE1223">
      <w:pPr>
        <w:pStyle w:val="Heading1"/>
        <w:tabs>
          <w:tab w:val="left" w:pos="1170"/>
        </w:tabs>
        <w:spacing w:before="0" w:after="120" w:line="276" w:lineRule="auto"/>
        <w:ind w:left="360" w:right="20"/>
        <w:rPr>
          <w:b w:val="0"/>
          <w:bCs w:val="0"/>
        </w:rPr>
      </w:pPr>
      <w:r>
        <w:rPr>
          <w:b w:val="0"/>
          <w:bCs w:val="0"/>
        </w:rPr>
        <w:t>03.08</w:t>
      </w:r>
      <w:r w:rsidR="00D73971">
        <w:rPr>
          <w:b w:val="0"/>
          <w:bCs w:val="0"/>
        </w:rPr>
        <w:t>.</w:t>
      </w:r>
      <w:r>
        <w:rPr>
          <w:b w:val="0"/>
          <w:bCs w:val="0"/>
        </w:rPr>
        <w:tab/>
      </w:r>
      <w:r w:rsidR="004E2E39">
        <w:rPr>
          <w:b w:val="0"/>
          <w:bCs w:val="0"/>
        </w:rPr>
        <w:t>The following outlines expectations for teaching</w:t>
      </w:r>
      <w:r w:rsidR="008B6C33">
        <w:rPr>
          <w:b w:val="0"/>
          <w:bCs w:val="0"/>
        </w:rPr>
        <w:t>, service, and scholarship.</w:t>
      </w:r>
    </w:p>
    <w:p w14:paraId="26B2BDBC" w14:textId="43C16B35" w:rsidR="008B6C33" w:rsidRDefault="000A7EEF" w:rsidP="000A7EEF">
      <w:pPr>
        <w:pStyle w:val="Heading1"/>
        <w:tabs>
          <w:tab w:val="left" w:pos="1620"/>
        </w:tabs>
        <w:spacing w:before="0" w:after="120" w:line="276" w:lineRule="auto"/>
        <w:ind w:left="1170" w:right="20"/>
        <w:rPr>
          <w:b w:val="0"/>
          <w:bCs w:val="0"/>
        </w:rPr>
      </w:pPr>
      <w:r>
        <w:rPr>
          <w:b w:val="0"/>
          <w:bCs w:val="0"/>
        </w:rPr>
        <w:t>a.</w:t>
      </w:r>
      <w:r>
        <w:rPr>
          <w:b w:val="0"/>
          <w:bCs w:val="0"/>
        </w:rPr>
        <w:tab/>
      </w:r>
      <w:r w:rsidR="008B6C33">
        <w:rPr>
          <w:b w:val="0"/>
          <w:bCs w:val="0"/>
        </w:rPr>
        <w:t xml:space="preserve">Teaching: </w:t>
      </w:r>
      <w:r w:rsidR="00832C08">
        <w:rPr>
          <w:b w:val="0"/>
          <w:bCs w:val="0"/>
        </w:rPr>
        <w:t xml:space="preserve">When </w:t>
      </w:r>
    </w:p>
    <w:p w14:paraId="6384AA79" w14:textId="7C054DBC" w:rsidR="004F6680" w:rsidRDefault="00636C3E" w:rsidP="00636C3E">
      <w:pPr>
        <w:pStyle w:val="Heading1"/>
        <w:tabs>
          <w:tab w:val="left" w:pos="1620"/>
        </w:tabs>
        <w:spacing w:before="0" w:after="120" w:line="276" w:lineRule="auto"/>
        <w:ind w:left="2155" w:right="20" w:hanging="2055"/>
        <w:rPr>
          <w:b w:val="0"/>
          <w:bCs w:val="0"/>
        </w:rPr>
      </w:pPr>
      <w:r>
        <w:rPr>
          <w:b w:val="0"/>
          <w:bCs w:val="0"/>
        </w:rPr>
        <w:tab/>
      </w:r>
      <w:r w:rsidR="000A7EEF">
        <w:rPr>
          <w:b w:val="0"/>
          <w:bCs w:val="0"/>
        </w:rPr>
        <w:t>1.</w:t>
      </w:r>
      <w:r w:rsidR="000A7EEF">
        <w:rPr>
          <w:b w:val="0"/>
          <w:bCs w:val="0"/>
        </w:rPr>
        <w:tab/>
      </w:r>
      <w:r w:rsidR="00BB0F5C">
        <w:rPr>
          <w:b w:val="0"/>
          <w:bCs w:val="0"/>
        </w:rPr>
        <w:t>Mean score from end-of-course critiques should meet or exceed the SOHA average.</w:t>
      </w:r>
      <w:r w:rsidR="00F04C0D">
        <w:rPr>
          <w:b w:val="0"/>
          <w:bCs w:val="0"/>
        </w:rPr>
        <w:t xml:space="preserve"> </w:t>
      </w:r>
    </w:p>
    <w:p w14:paraId="64ACBB2E" w14:textId="77777777" w:rsidR="00C16B4D" w:rsidRDefault="000A7EEF" w:rsidP="00C16B4D">
      <w:pPr>
        <w:pStyle w:val="Heading1"/>
        <w:tabs>
          <w:tab w:val="left" w:pos="1620"/>
        </w:tabs>
        <w:spacing w:before="0" w:after="120" w:line="276" w:lineRule="auto"/>
        <w:ind w:right="20"/>
        <w:rPr>
          <w:b w:val="0"/>
          <w:bCs w:val="0"/>
        </w:rPr>
      </w:pPr>
      <w:r>
        <w:rPr>
          <w:b w:val="0"/>
          <w:bCs w:val="0"/>
        </w:rPr>
        <w:tab/>
      </w:r>
      <w:r w:rsidR="00636C3E">
        <w:rPr>
          <w:b w:val="0"/>
          <w:bCs w:val="0"/>
        </w:rPr>
        <w:tab/>
      </w:r>
      <w:r>
        <w:rPr>
          <w:b w:val="0"/>
          <w:bCs w:val="0"/>
        </w:rPr>
        <w:t>a.</w:t>
      </w:r>
      <w:r w:rsidR="00636C3E">
        <w:rPr>
          <w:b w:val="0"/>
          <w:bCs w:val="0"/>
        </w:rPr>
        <w:tab/>
      </w:r>
      <w:r w:rsidR="00F04C0D">
        <w:rPr>
          <w:b w:val="0"/>
          <w:bCs w:val="0"/>
        </w:rPr>
        <w:t xml:space="preserve">Scores </w:t>
      </w:r>
      <w:r w:rsidR="0006599F">
        <w:rPr>
          <w:b w:val="0"/>
          <w:bCs w:val="0"/>
        </w:rPr>
        <w:t>are</w:t>
      </w:r>
      <w:r w:rsidR="00F04C0D">
        <w:rPr>
          <w:b w:val="0"/>
          <w:bCs w:val="0"/>
        </w:rPr>
        <w:t xml:space="preserve"> often indicative of complexity of course material.</w:t>
      </w:r>
      <w:r w:rsidR="00AB0379">
        <w:rPr>
          <w:b w:val="0"/>
          <w:bCs w:val="0"/>
        </w:rPr>
        <w:t xml:space="preserve"> </w:t>
      </w:r>
    </w:p>
    <w:p w14:paraId="0685ECC7" w14:textId="388CC9DB" w:rsidR="00BB0F5C" w:rsidRPr="00D53D5C" w:rsidRDefault="00C16B4D" w:rsidP="00C16B4D">
      <w:pPr>
        <w:pStyle w:val="Heading1"/>
        <w:tabs>
          <w:tab w:val="left" w:pos="1620"/>
        </w:tabs>
        <w:spacing w:before="0" w:after="120" w:line="276" w:lineRule="auto"/>
        <w:ind w:left="2875" w:right="20" w:hanging="2775"/>
        <w:rPr>
          <w:b w:val="0"/>
          <w:bCs w:val="0"/>
        </w:rPr>
      </w:pPr>
      <w:r>
        <w:rPr>
          <w:b w:val="0"/>
          <w:bCs w:val="0"/>
        </w:rPr>
        <w:tab/>
        <w:t xml:space="preserve">         </w:t>
      </w:r>
      <w:r w:rsidR="00636C3E">
        <w:rPr>
          <w:b w:val="0"/>
          <w:bCs w:val="0"/>
        </w:rPr>
        <w:t>b.</w:t>
      </w:r>
      <w:r>
        <w:rPr>
          <w:b w:val="0"/>
          <w:bCs w:val="0"/>
        </w:rPr>
        <w:tab/>
      </w:r>
      <w:r w:rsidR="00AB0379" w:rsidRPr="00D53D5C">
        <w:rPr>
          <w:b w:val="0"/>
          <w:bCs w:val="0"/>
        </w:rPr>
        <w:t xml:space="preserve">High </w:t>
      </w:r>
      <w:r w:rsidR="00777244" w:rsidRPr="00D53D5C">
        <w:rPr>
          <w:b w:val="0"/>
          <w:bCs w:val="0"/>
        </w:rPr>
        <w:t xml:space="preserve">student scores are often indicative of high </w:t>
      </w:r>
      <w:r w:rsidR="0002543A" w:rsidRPr="00D53D5C">
        <w:rPr>
          <w:b w:val="0"/>
          <w:bCs w:val="0"/>
        </w:rPr>
        <w:t>grades</w:t>
      </w:r>
      <w:r w:rsidR="002334A1" w:rsidRPr="00D53D5C">
        <w:rPr>
          <w:b w:val="0"/>
          <w:bCs w:val="0"/>
        </w:rPr>
        <w:t xml:space="preserve"> and a lack of academic rigor</w:t>
      </w:r>
      <w:r w:rsidR="0002543A" w:rsidRPr="00D53D5C">
        <w:rPr>
          <w:b w:val="0"/>
          <w:bCs w:val="0"/>
        </w:rPr>
        <w:t>.</w:t>
      </w:r>
      <w:r w:rsidR="00B107D1" w:rsidRPr="00D53D5C">
        <w:rPr>
          <w:b w:val="0"/>
          <w:bCs w:val="0"/>
        </w:rPr>
        <w:t xml:space="preserve"> A class of 100% “</w:t>
      </w:r>
      <w:proofErr w:type="gramStart"/>
      <w:r w:rsidR="00B107D1" w:rsidRPr="00D53D5C">
        <w:rPr>
          <w:b w:val="0"/>
          <w:bCs w:val="0"/>
        </w:rPr>
        <w:t>A”s</w:t>
      </w:r>
      <w:proofErr w:type="gramEnd"/>
      <w:r w:rsidR="00B107D1" w:rsidRPr="00D53D5C">
        <w:rPr>
          <w:b w:val="0"/>
          <w:bCs w:val="0"/>
        </w:rPr>
        <w:t xml:space="preserve"> is difficult to explain during certification/accreditation site visits.</w:t>
      </w:r>
      <w:r w:rsidR="00D53D5C" w:rsidRPr="00D53D5C">
        <w:rPr>
          <w:b w:val="0"/>
          <w:bCs w:val="0"/>
        </w:rPr>
        <w:t xml:space="preserve"> </w:t>
      </w:r>
      <w:r w:rsidR="0002543A" w:rsidRPr="00D53D5C">
        <w:rPr>
          <w:b w:val="0"/>
          <w:bCs w:val="0"/>
        </w:rPr>
        <w:t>While graduate courses often gravitate toward higher grades, all faculty are encouraged to exercise the full range of the grading scale</w:t>
      </w:r>
      <w:r w:rsidR="002334A1" w:rsidRPr="00D53D5C">
        <w:rPr>
          <w:b w:val="0"/>
          <w:bCs w:val="0"/>
        </w:rPr>
        <w:t xml:space="preserve"> where appropriate. </w:t>
      </w:r>
    </w:p>
    <w:p w14:paraId="200F24E9" w14:textId="14362D01" w:rsidR="004F6680" w:rsidRDefault="00636C3E" w:rsidP="00636C3E">
      <w:pPr>
        <w:pStyle w:val="Heading1"/>
        <w:tabs>
          <w:tab w:val="left" w:pos="1620"/>
        </w:tabs>
        <w:spacing w:before="0" w:after="120" w:line="276" w:lineRule="auto"/>
        <w:ind w:left="2875" w:right="20" w:hanging="720"/>
        <w:rPr>
          <w:b w:val="0"/>
          <w:bCs w:val="0"/>
        </w:rPr>
      </w:pPr>
      <w:r>
        <w:rPr>
          <w:b w:val="0"/>
          <w:bCs w:val="0"/>
        </w:rPr>
        <w:t>c.</w:t>
      </w:r>
      <w:r w:rsidR="00EC7C2C">
        <w:rPr>
          <w:b w:val="0"/>
          <w:bCs w:val="0"/>
        </w:rPr>
        <w:tab/>
      </w:r>
      <w:r w:rsidR="005123B3">
        <w:rPr>
          <w:b w:val="0"/>
          <w:bCs w:val="0"/>
        </w:rPr>
        <w:t>Faculty teaching in c</w:t>
      </w:r>
      <w:r w:rsidR="00D64174">
        <w:rPr>
          <w:b w:val="0"/>
          <w:bCs w:val="0"/>
        </w:rPr>
        <w:t>ourses in c</w:t>
      </w:r>
      <w:r w:rsidR="004F6680">
        <w:rPr>
          <w:b w:val="0"/>
          <w:bCs w:val="0"/>
        </w:rPr>
        <w:t xml:space="preserve">ompetency based programs (BHA/MHA) </w:t>
      </w:r>
      <w:r w:rsidR="005123B3">
        <w:rPr>
          <w:b w:val="0"/>
          <w:bCs w:val="0"/>
        </w:rPr>
        <w:t>are discouraged from using</w:t>
      </w:r>
      <w:r w:rsidR="004F6680">
        <w:rPr>
          <w:b w:val="0"/>
          <w:bCs w:val="0"/>
        </w:rPr>
        <w:t xml:space="preserve"> extra credit</w:t>
      </w:r>
      <w:r w:rsidR="00D64174">
        <w:rPr>
          <w:b w:val="0"/>
          <w:bCs w:val="0"/>
        </w:rPr>
        <w:t xml:space="preserve"> opportunities</w:t>
      </w:r>
      <w:r w:rsidR="00716D7B">
        <w:rPr>
          <w:b w:val="0"/>
          <w:bCs w:val="0"/>
        </w:rPr>
        <w:t xml:space="preserve"> because this artificially inflates grades</w:t>
      </w:r>
      <w:r w:rsidR="004A2C79">
        <w:rPr>
          <w:b w:val="0"/>
          <w:bCs w:val="0"/>
        </w:rPr>
        <w:t>, does not enforce deadlines,</w:t>
      </w:r>
      <w:r w:rsidR="00716D7B">
        <w:rPr>
          <w:b w:val="0"/>
          <w:bCs w:val="0"/>
        </w:rPr>
        <w:t xml:space="preserve"> and does not teach students to get it right the first time around</w:t>
      </w:r>
      <w:r w:rsidR="00D53D5C">
        <w:rPr>
          <w:b w:val="0"/>
          <w:bCs w:val="0"/>
        </w:rPr>
        <w:t xml:space="preserve"> (important lessons in healthcare).</w:t>
      </w:r>
    </w:p>
    <w:p w14:paraId="5D8858F2" w14:textId="2AF05D33" w:rsidR="003D1122" w:rsidRDefault="00636C3E" w:rsidP="00636C3E">
      <w:pPr>
        <w:pStyle w:val="Heading1"/>
        <w:tabs>
          <w:tab w:val="left" w:pos="1620"/>
        </w:tabs>
        <w:spacing w:before="0" w:after="120" w:line="276" w:lineRule="auto"/>
        <w:ind w:left="1620" w:right="20"/>
        <w:rPr>
          <w:b w:val="0"/>
          <w:bCs w:val="0"/>
        </w:rPr>
      </w:pPr>
      <w:r>
        <w:rPr>
          <w:b w:val="0"/>
          <w:bCs w:val="0"/>
        </w:rPr>
        <w:t>2.</w:t>
      </w:r>
      <w:r>
        <w:rPr>
          <w:b w:val="0"/>
          <w:bCs w:val="0"/>
        </w:rPr>
        <w:tab/>
      </w:r>
      <w:r w:rsidR="00E123A7">
        <w:rPr>
          <w:b w:val="0"/>
          <w:bCs w:val="0"/>
        </w:rPr>
        <w:t>All faculty will receive a peer-evaluation</w:t>
      </w:r>
      <w:r w:rsidR="003D1122">
        <w:rPr>
          <w:b w:val="0"/>
          <w:bCs w:val="0"/>
        </w:rPr>
        <w:t xml:space="preserve"> on the following cycle:</w:t>
      </w:r>
      <w:r w:rsidR="003D1122" w:rsidRPr="003D1122">
        <w:rPr>
          <w:b w:val="0"/>
          <w:bCs w:val="0"/>
        </w:rPr>
        <w:t xml:space="preserve"> </w:t>
      </w:r>
    </w:p>
    <w:p w14:paraId="07138804" w14:textId="19C14251" w:rsidR="00924AE4" w:rsidRDefault="008C46D2" w:rsidP="00140F31">
      <w:pPr>
        <w:pStyle w:val="Heading1"/>
        <w:tabs>
          <w:tab w:val="left" w:pos="2160"/>
          <w:tab w:val="left" w:pos="3960"/>
          <w:tab w:val="left" w:pos="6300"/>
          <w:tab w:val="left" w:pos="8100"/>
        </w:tabs>
        <w:spacing w:before="0" w:after="120" w:line="276" w:lineRule="auto"/>
        <w:ind w:left="1620" w:right="20"/>
        <w:rPr>
          <w:b w:val="0"/>
          <w:bCs w:val="0"/>
        </w:rPr>
      </w:pPr>
      <w:r>
        <w:rPr>
          <w:b w:val="0"/>
          <w:bCs w:val="0"/>
        </w:rPr>
        <w:tab/>
      </w:r>
      <w:r w:rsidR="009F4BFC" w:rsidRPr="009F4BFC">
        <w:rPr>
          <w:b w:val="0"/>
          <w:bCs w:val="0"/>
          <w:u w:val="single"/>
        </w:rPr>
        <w:t>Rank/Track</w:t>
      </w:r>
      <w:r w:rsidR="009F4BFC">
        <w:rPr>
          <w:b w:val="0"/>
          <w:bCs w:val="0"/>
        </w:rPr>
        <w:tab/>
      </w:r>
      <w:r w:rsidR="009F4BFC" w:rsidRPr="00BE4FE5">
        <w:rPr>
          <w:b w:val="0"/>
          <w:bCs w:val="0"/>
          <w:u w:val="single"/>
        </w:rPr>
        <w:t>Observed by</w:t>
      </w:r>
      <w:r w:rsidR="009F4BFC">
        <w:rPr>
          <w:b w:val="0"/>
          <w:bCs w:val="0"/>
        </w:rPr>
        <w:tab/>
      </w:r>
      <w:r w:rsidR="009F4BFC" w:rsidRPr="00BE4FE5">
        <w:rPr>
          <w:b w:val="0"/>
          <w:bCs w:val="0"/>
          <w:u w:val="single"/>
        </w:rPr>
        <w:t>Cycle</w:t>
      </w:r>
      <w:r w:rsidR="00140F31" w:rsidRPr="00140F31">
        <w:rPr>
          <w:b w:val="0"/>
          <w:bCs w:val="0"/>
        </w:rPr>
        <w:tab/>
      </w:r>
      <w:r w:rsidR="00140F31">
        <w:rPr>
          <w:b w:val="0"/>
          <w:bCs w:val="0"/>
          <w:u w:val="single"/>
        </w:rPr>
        <w:t>Process</w:t>
      </w:r>
    </w:p>
    <w:p w14:paraId="7511972B" w14:textId="26869C4A" w:rsidR="009F4BFC" w:rsidRDefault="00336070" w:rsidP="005D2D9E">
      <w:pPr>
        <w:pStyle w:val="Heading1"/>
        <w:tabs>
          <w:tab w:val="left" w:pos="2160"/>
          <w:tab w:val="left" w:pos="3960"/>
          <w:tab w:val="left" w:pos="6300"/>
          <w:tab w:val="left" w:pos="8100"/>
        </w:tabs>
        <w:spacing w:before="0"/>
        <w:ind w:left="1627" w:right="14"/>
        <w:rPr>
          <w:b w:val="0"/>
          <w:bCs w:val="0"/>
        </w:rPr>
      </w:pPr>
      <w:r>
        <w:rPr>
          <w:b w:val="0"/>
          <w:bCs w:val="0"/>
        </w:rPr>
        <w:tab/>
      </w:r>
      <w:r w:rsidR="00EB4A65">
        <w:rPr>
          <w:b w:val="0"/>
          <w:bCs w:val="0"/>
        </w:rPr>
        <w:t>Tenure-Track</w:t>
      </w:r>
      <w:r w:rsidR="00095142">
        <w:rPr>
          <w:b w:val="0"/>
          <w:bCs w:val="0"/>
        </w:rPr>
        <w:tab/>
        <w:t>Personnel Committee</w:t>
      </w:r>
      <w:r w:rsidR="00095142">
        <w:rPr>
          <w:b w:val="0"/>
          <w:bCs w:val="0"/>
        </w:rPr>
        <w:tab/>
      </w:r>
      <w:r w:rsidR="008E7975">
        <w:rPr>
          <w:b w:val="0"/>
          <w:bCs w:val="0"/>
        </w:rPr>
        <w:t>2x per semester</w:t>
      </w:r>
      <w:r w:rsidR="00140F31">
        <w:rPr>
          <w:b w:val="0"/>
          <w:bCs w:val="0"/>
        </w:rPr>
        <w:tab/>
        <w:t>Invite</w:t>
      </w:r>
    </w:p>
    <w:p w14:paraId="09EF6B07" w14:textId="652E62C2" w:rsidR="008E7975" w:rsidRDefault="008E7975" w:rsidP="005D2D9E">
      <w:pPr>
        <w:pStyle w:val="Heading1"/>
        <w:tabs>
          <w:tab w:val="left" w:pos="2160"/>
          <w:tab w:val="left" w:pos="3960"/>
          <w:tab w:val="left" w:pos="6300"/>
          <w:tab w:val="left" w:pos="8100"/>
        </w:tabs>
        <w:spacing w:before="0"/>
        <w:ind w:left="1627" w:right="14"/>
        <w:rPr>
          <w:b w:val="0"/>
          <w:bCs w:val="0"/>
        </w:rPr>
      </w:pPr>
      <w:r>
        <w:rPr>
          <w:b w:val="0"/>
          <w:bCs w:val="0"/>
        </w:rPr>
        <w:tab/>
        <w:t>Tenured</w:t>
      </w:r>
      <w:r>
        <w:rPr>
          <w:b w:val="0"/>
          <w:bCs w:val="0"/>
        </w:rPr>
        <w:tab/>
        <w:t>Personnel Committee</w:t>
      </w:r>
      <w:r>
        <w:rPr>
          <w:b w:val="0"/>
          <w:bCs w:val="0"/>
        </w:rPr>
        <w:tab/>
        <w:t>1x per year</w:t>
      </w:r>
      <w:r w:rsidR="00140F31">
        <w:rPr>
          <w:b w:val="0"/>
          <w:bCs w:val="0"/>
        </w:rPr>
        <w:tab/>
        <w:t>Invite</w:t>
      </w:r>
    </w:p>
    <w:p w14:paraId="220B2875" w14:textId="73D793A4" w:rsidR="008E7975" w:rsidRDefault="00AA658A" w:rsidP="005D2D9E">
      <w:pPr>
        <w:pStyle w:val="Heading1"/>
        <w:tabs>
          <w:tab w:val="left" w:pos="2160"/>
          <w:tab w:val="left" w:pos="3960"/>
          <w:tab w:val="left" w:pos="6300"/>
          <w:tab w:val="left" w:pos="8100"/>
        </w:tabs>
        <w:spacing w:before="0"/>
        <w:ind w:left="1627" w:right="14"/>
        <w:rPr>
          <w:b w:val="0"/>
          <w:bCs w:val="0"/>
        </w:rPr>
      </w:pPr>
      <w:r>
        <w:rPr>
          <w:b w:val="0"/>
          <w:bCs w:val="0"/>
        </w:rPr>
        <w:tab/>
        <w:t xml:space="preserve">Lecturers, </w:t>
      </w:r>
      <w:proofErr w:type="spellStart"/>
      <w:r>
        <w:rPr>
          <w:b w:val="0"/>
          <w:bCs w:val="0"/>
        </w:rPr>
        <w:t>PoPs</w:t>
      </w:r>
      <w:proofErr w:type="spellEnd"/>
      <w:r>
        <w:rPr>
          <w:b w:val="0"/>
          <w:bCs w:val="0"/>
        </w:rPr>
        <w:tab/>
        <w:t>Personnel Committee</w:t>
      </w:r>
      <w:r>
        <w:rPr>
          <w:b w:val="0"/>
          <w:bCs w:val="0"/>
        </w:rPr>
        <w:tab/>
        <w:t>1x per year</w:t>
      </w:r>
      <w:r w:rsidR="00140F31">
        <w:rPr>
          <w:b w:val="0"/>
          <w:bCs w:val="0"/>
        </w:rPr>
        <w:tab/>
        <w:t>Invite</w:t>
      </w:r>
    </w:p>
    <w:p w14:paraId="6013E419" w14:textId="75BD2126" w:rsidR="00AA658A" w:rsidRDefault="00AA658A" w:rsidP="00374CA3">
      <w:pPr>
        <w:pStyle w:val="Heading1"/>
        <w:tabs>
          <w:tab w:val="left" w:pos="2160"/>
          <w:tab w:val="left" w:pos="3960"/>
          <w:tab w:val="left" w:pos="6300"/>
          <w:tab w:val="left" w:pos="8100"/>
        </w:tabs>
        <w:spacing w:before="0" w:after="120"/>
        <w:ind w:left="1627" w:right="14"/>
        <w:rPr>
          <w:b w:val="0"/>
          <w:bCs w:val="0"/>
        </w:rPr>
      </w:pPr>
      <w:r>
        <w:rPr>
          <w:b w:val="0"/>
          <w:bCs w:val="0"/>
        </w:rPr>
        <w:tab/>
        <w:t>Full Professors</w:t>
      </w:r>
      <w:r>
        <w:rPr>
          <w:b w:val="0"/>
          <w:bCs w:val="0"/>
        </w:rPr>
        <w:tab/>
        <w:t>SOHA Director only</w:t>
      </w:r>
      <w:r>
        <w:rPr>
          <w:b w:val="0"/>
          <w:bCs w:val="0"/>
        </w:rPr>
        <w:tab/>
      </w:r>
      <w:r w:rsidR="00140F31">
        <w:rPr>
          <w:b w:val="0"/>
          <w:bCs w:val="0"/>
        </w:rPr>
        <w:t>1x per year</w:t>
      </w:r>
      <w:r w:rsidR="00140F31">
        <w:rPr>
          <w:b w:val="0"/>
          <w:bCs w:val="0"/>
        </w:rPr>
        <w:tab/>
        <w:t>Unannounced</w:t>
      </w:r>
    </w:p>
    <w:p w14:paraId="73C4C4B7" w14:textId="33A682A8" w:rsidR="005552CA" w:rsidRDefault="00540791" w:rsidP="005D2D9E">
      <w:pPr>
        <w:pStyle w:val="Heading1"/>
        <w:tabs>
          <w:tab w:val="left" w:pos="2160"/>
          <w:tab w:val="left" w:pos="3960"/>
          <w:tab w:val="left" w:pos="6300"/>
          <w:tab w:val="left" w:pos="8100"/>
        </w:tabs>
        <w:spacing w:before="0"/>
        <w:ind w:left="1627" w:right="14"/>
        <w:rPr>
          <w:b w:val="0"/>
          <w:bCs w:val="0"/>
        </w:rPr>
      </w:pPr>
      <w:r>
        <w:rPr>
          <w:b w:val="0"/>
          <w:bCs w:val="0"/>
        </w:rPr>
        <w:tab/>
      </w:r>
      <w:r w:rsidR="00280087">
        <w:rPr>
          <w:b w:val="0"/>
          <w:bCs w:val="0"/>
        </w:rPr>
        <w:t>“</w:t>
      </w:r>
      <w:r w:rsidR="005552CA">
        <w:rPr>
          <w:b w:val="0"/>
          <w:bCs w:val="0"/>
        </w:rPr>
        <w:t>Invite</w:t>
      </w:r>
      <w:r w:rsidR="00280087">
        <w:rPr>
          <w:b w:val="0"/>
          <w:bCs w:val="0"/>
        </w:rPr>
        <w:t>”</w:t>
      </w:r>
      <w:r w:rsidR="005552CA">
        <w:rPr>
          <w:b w:val="0"/>
          <w:bCs w:val="0"/>
        </w:rPr>
        <w:t xml:space="preserve"> </w:t>
      </w:r>
      <w:r w:rsidR="00764547">
        <w:rPr>
          <w:b w:val="0"/>
          <w:bCs w:val="0"/>
        </w:rPr>
        <w:t xml:space="preserve">places responsibility on </w:t>
      </w:r>
      <w:r w:rsidR="0000484F">
        <w:rPr>
          <w:b w:val="0"/>
          <w:bCs w:val="0"/>
        </w:rPr>
        <w:t>faculty</w:t>
      </w:r>
      <w:r w:rsidR="00764547">
        <w:rPr>
          <w:b w:val="0"/>
          <w:bCs w:val="0"/>
        </w:rPr>
        <w:t xml:space="preserve"> to invite </w:t>
      </w:r>
      <w:r w:rsidR="00280087">
        <w:rPr>
          <w:b w:val="0"/>
          <w:bCs w:val="0"/>
        </w:rPr>
        <w:t>the</w:t>
      </w:r>
      <w:r w:rsidR="00764547">
        <w:rPr>
          <w:b w:val="0"/>
          <w:bCs w:val="0"/>
        </w:rPr>
        <w:t xml:space="preserve"> PC member</w:t>
      </w:r>
    </w:p>
    <w:p w14:paraId="73ADA2B7" w14:textId="5EBB978A" w:rsidR="00540791" w:rsidRDefault="005552CA" w:rsidP="005D2D9E">
      <w:pPr>
        <w:pStyle w:val="Heading1"/>
        <w:tabs>
          <w:tab w:val="left" w:pos="2160"/>
          <w:tab w:val="left" w:pos="3960"/>
          <w:tab w:val="left" w:pos="6300"/>
          <w:tab w:val="left" w:pos="8100"/>
        </w:tabs>
        <w:spacing w:before="0"/>
        <w:ind w:left="1627" w:right="14"/>
        <w:rPr>
          <w:b w:val="0"/>
          <w:bCs w:val="0"/>
        </w:rPr>
      </w:pPr>
      <w:r>
        <w:rPr>
          <w:b w:val="0"/>
          <w:bCs w:val="0"/>
        </w:rPr>
        <w:tab/>
      </w:r>
      <w:r w:rsidR="00540791">
        <w:rPr>
          <w:b w:val="0"/>
          <w:bCs w:val="0"/>
        </w:rPr>
        <w:t xml:space="preserve">Performance should </w:t>
      </w:r>
      <w:r w:rsidR="00374CA3">
        <w:rPr>
          <w:b w:val="0"/>
          <w:bCs w:val="0"/>
        </w:rPr>
        <w:t xml:space="preserve">generally </w:t>
      </w:r>
      <w:r w:rsidR="00540791">
        <w:rPr>
          <w:b w:val="0"/>
          <w:bCs w:val="0"/>
        </w:rPr>
        <w:t>increase over time.</w:t>
      </w:r>
    </w:p>
    <w:p w14:paraId="2F8494E8" w14:textId="77777777" w:rsidR="00374CA3" w:rsidRDefault="00374CA3" w:rsidP="005D2D9E">
      <w:pPr>
        <w:pStyle w:val="Heading1"/>
        <w:tabs>
          <w:tab w:val="left" w:pos="2160"/>
          <w:tab w:val="left" w:pos="3960"/>
          <w:tab w:val="left" w:pos="6300"/>
          <w:tab w:val="left" w:pos="8100"/>
        </w:tabs>
        <w:spacing w:before="0"/>
        <w:ind w:left="1627" w:right="14"/>
        <w:rPr>
          <w:b w:val="0"/>
          <w:bCs w:val="0"/>
        </w:rPr>
      </w:pPr>
    </w:p>
    <w:p w14:paraId="54296504" w14:textId="17BEC0EF" w:rsidR="00BB0F5C" w:rsidRDefault="00C16B4D" w:rsidP="00C16B4D">
      <w:pPr>
        <w:pStyle w:val="Heading1"/>
        <w:tabs>
          <w:tab w:val="left" w:pos="1620"/>
        </w:tabs>
        <w:spacing w:before="0" w:after="120" w:line="276" w:lineRule="auto"/>
        <w:ind w:left="2160" w:right="20" w:hanging="540"/>
        <w:rPr>
          <w:b w:val="0"/>
          <w:bCs w:val="0"/>
        </w:rPr>
      </w:pPr>
      <w:r>
        <w:rPr>
          <w:b w:val="0"/>
          <w:bCs w:val="0"/>
        </w:rPr>
        <w:t>3.</w:t>
      </w:r>
      <w:r>
        <w:rPr>
          <w:b w:val="0"/>
          <w:bCs w:val="0"/>
        </w:rPr>
        <w:tab/>
      </w:r>
      <w:r w:rsidR="005C457E">
        <w:rPr>
          <w:b w:val="0"/>
          <w:bCs w:val="0"/>
        </w:rPr>
        <w:t xml:space="preserve">DFW report should be consistent over time, or explanations of </w:t>
      </w:r>
      <w:r w:rsidR="001F5358">
        <w:rPr>
          <w:b w:val="0"/>
          <w:bCs w:val="0"/>
        </w:rPr>
        <w:t>aberrations</w:t>
      </w:r>
      <w:r w:rsidR="005C457E">
        <w:rPr>
          <w:b w:val="0"/>
          <w:bCs w:val="0"/>
        </w:rPr>
        <w:t xml:space="preserve"> provided.</w:t>
      </w:r>
    </w:p>
    <w:p w14:paraId="5F935E6A" w14:textId="0BFDCAAB" w:rsidR="001F5358" w:rsidRDefault="00C16B4D" w:rsidP="00C16B4D">
      <w:pPr>
        <w:pStyle w:val="Heading1"/>
        <w:tabs>
          <w:tab w:val="left" w:pos="1620"/>
        </w:tabs>
        <w:spacing w:before="0" w:after="120" w:line="276" w:lineRule="auto"/>
        <w:ind w:left="1620" w:right="20"/>
        <w:rPr>
          <w:b w:val="0"/>
          <w:bCs w:val="0"/>
        </w:rPr>
      </w:pPr>
      <w:r>
        <w:rPr>
          <w:b w:val="0"/>
          <w:bCs w:val="0"/>
        </w:rPr>
        <w:t>4.</w:t>
      </w:r>
      <w:r>
        <w:rPr>
          <w:b w:val="0"/>
          <w:bCs w:val="0"/>
        </w:rPr>
        <w:tab/>
      </w:r>
      <w:r w:rsidR="001F5358">
        <w:rPr>
          <w:b w:val="0"/>
          <w:bCs w:val="0"/>
        </w:rPr>
        <w:t>Faculty should attend about 2 continuing education sessions per year.</w:t>
      </w:r>
    </w:p>
    <w:p w14:paraId="4F4DF0E6" w14:textId="2DCEE648" w:rsidR="0027705C" w:rsidRDefault="00C16B4D" w:rsidP="00C16B4D">
      <w:pPr>
        <w:pStyle w:val="Heading1"/>
        <w:tabs>
          <w:tab w:val="left" w:pos="1620"/>
        </w:tabs>
        <w:spacing w:before="0" w:after="120" w:line="276" w:lineRule="auto"/>
        <w:ind w:left="1620" w:right="20" w:hanging="450"/>
        <w:rPr>
          <w:b w:val="0"/>
          <w:bCs w:val="0"/>
        </w:rPr>
      </w:pPr>
      <w:r>
        <w:rPr>
          <w:b w:val="0"/>
          <w:bCs w:val="0"/>
        </w:rPr>
        <w:t>b.</w:t>
      </w:r>
      <w:r>
        <w:rPr>
          <w:b w:val="0"/>
          <w:bCs w:val="0"/>
        </w:rPr>
        <w:tab/>
      </w:r>
      <w:r w:rsidR="0027705C">
        <w:rPr>
          <w:b w:val="0"/>
          <w:bCs w:val="0"/>
        </w:rPr>
        <w:t>Service</w:t>
      </w:r>
      <w:r w:rsidR="00705688">
        <w:rPr>
          <w:b w:val="0"/>
          <w:bCs w:val="0"/>
        </w:rPr>
        <w:t xml:space="preserve"> (values shows are relative to </w:t>
      </w:r>
      <w:proofErr w:type="gramStart"/>
      <w:r w:rsidR="00705688">
        <w:rPr>
          <w:b w:val="0"/>
          <w:bCs w:val="0"/>
        </w:rPr>
        <w:t>importance</w:t>
      </w:r>
      <w:r w:rsidR="00F176F8">
        <w:rPr>
          <w:b w:val="0"/>
          <w:bCs w:val="0"/>
        </w:rPr>
        <w:t>;</w:t>
      </w:r>
      <w:proofErr w:type="gramEnd"/>
      <w:r w:rsidR="00F176F8">
        <w:rPr>
          <w:b w:val="0"/>
          <w:bCs w:val="0"/>
        </w:rPr>
        <w:t xml:space="preserve"> e.g., we value university servi</w:t>
      </w:r>
      <w:r w:rsidR="004B119A">
        <w:rPr>
          <w:b w:val="0"/>
          <w:bCs w:val="0"/>
        </w:rPr>
        <w:t>c</w:t>
      </w:r>
      <w:r w:rsidR="00F176F8">
        <w:rPr>
          <w:b w:val="0"/>
          <w:bCs w:val="0"/>
        </w:rPr>
        <w:t>e twice as much as community service</w:t>
      </w:r>
      <w:r w:rsidR="00705688">
        <w:rPr>
          <w:b w:val="0"/>
          <w:bCs w:val="0"/>
        </w:rPr>
        <w:t>)</w:t>
      </w:r>
    </w:p>
    <w:p w14:paraId="3BBE6F40" w14:textId="29F971CC" w:rsidR="006928B9" w:rsidRPr="00BF1C1F" w:rsidRDefault="006928B9" w:rsidP="006928B9">
      <w:pPr>
        <w:pStyle w:val="Heading1"/>
        <w:tabs>
          <w:tab w:val="left" w:pos="1620"/>
          <w:tab w:val="left" w:pos="5400"/>
          <w:tab w:val="left" w:pos="6840"/>
          <w:tab w:val="left" w:pos="8100"/>
        </w:tabs>
        <w:spacing w:before="0" w:after="120" w:line="276" w:lineRule="auto"/>
        <w:ind w:left="532" w:right="20"/>
        <w:rPr>
          <w:b w:val="0"/>
          <w:bCs w:val="0"/>
          <w:u w:val="single"/>
        </w:rPr>
      </w:pPr>
      <w:r>
        <w:rPr>
          <w:b w:val="0"/>
          <w:bCs w:val="0"/>
        </w:rPr>
        <w:tab/>
      </w:r>
      <w:r w:rsidRPr="006928B9">
        <w:rPr>
          <w:b w:val="0"/>
          <w:bCs w:val="0"/>
          <w:u w:val="single"/>
        </w:rPr>
        <w:t>Activity</w:t>
      </w:r>
      <w:r w:rsidR="009576B4" w:rsidRPr="009576B4">
        <w:rPr>
          <w:b w:val="0"/>
          <w:bCs w:val="0"/>
          <w:u w:val="single"/>
          <w:vertAlign w:val="superscript"/>
        </w:rPr>
        <w:t>1</w:t>
      </w:r>
      <w:r w:rsidRPr="006928B9">
        <w:rPr>
          <w:b w:val="0"/>
          <w:bCs w:val="0"/>
          <w:u w:val="single"/>
        </w:rPr>
        <w:tab/>
      </w:r>
      <w:r>
        <w:rPr>
          <w:b w:val="0"/>
          <w:bCs w:val="0"/>
          <w:u w:val="single"/>
        </w:rPr>
        <w:t>Active Participation</w:t>
      </w:r>
      <w:r w:rsidR="00E4393A" w:rsidRPr="00E4393A">
        <w:rPr>
          <w:b w:val="0"/>
          <w:bCs w:val="0"/>
          <w:u w:val="single"/>
          <w:vertAlign w:val="superscript"/>
        </w:rPr>
        <w:t>2</w:t>
      </w:r>
      <w:r w:rsidRPr="00BF1C1F">
        <w:rPr>
          <w:b w:val="0"/>
          <w:bCs w:val="0"/>
          <w:u w:val="single"/>
        </w:rPr>
        <w:tab/>
      </w:r>
      <w:r>
        <w:rPr>
          <w:b w:val="0"/>
          <w:bCs w:val="0"/>
          <w:u w:val="single"/>
        </w:rPr>
        <w:t>Leader</w:t>
      </w:r>
      <w:r w:rsidRPr="00BF1C1F">
        <w:rPr>
          <w:b w:val="0"/>
          <w:bCs w:val="0"/>
          <w:u w:val="single"/>
        </w:rPr>
        <w:t>ship</w:t>
      </w:r>
      <w:r w:rsidR="00E4393A" w:rsidRPr="00E4393A">
        <w:rPr>
          <w:b w:val="0"/>
          <w:bCs w:val="0"/>
          <w:u w:val="single"/>
          <w:vertAlign w:val="superscript"/>
        </w:rPr>
        <w:t>3</w:t>
      </w:r>
    </w:p>
    <w:p w14:paraId="13BECA80" w14:textId="0462781C" w:rsidR="006928B9" w:rsidRDefault="006928B9" w:rsidP="006928B9">
      <w:pPr>
        <w:pStyle w:val="Heading1"/>
        <w:tabs>
          <w:tab w:val="left" w:pos="1620"/>
          <w:tab w:val="left" w:pos="5850"/>
          <w:tab w:val="left" w:pos="7200"/>
          <w:tab w:val="left" w:pos="8460"/>
        </w:tabs>
        <w:spacing w:before="0" w:line="276" w:lineRule="auto"/>
        <w:ind w:left="533" w:right="14"/>
        <w:rPr>
          <w:b w:val="0"/>
          <w:bCs w:val="0"/>
        </w:rPr>
      </w:pPr>
      <w:r>
        <w:rPr>
          <w:b w:val="0"/>
          <w:bCs w:val="0"/>
        </w:rPr>
        <w:tab/>
        <w:t>University service</w:t>
      </w:r>
      <w:r w:rsidR="00167D55" w:rsidRPr="00167D55">
        <w:rPr>
          <w:b w:val="0"/>
          <w:bCs w:val="0"/>
          <w:vertAlign w:val="superscript"/>
        </w:rPr>
        <w:t>4</w:t>
      </w:r>
      <w:r>
        <w:rPr>
          <w:b w:val="0"/>
          <w:bCs w:val="0"/>
        </w:rPr>
        <w:tab/>
      </w:r>
      <w:r w:rsidR="00D94ADE">
        <w:rPr>
          <w:b w:val="0"/>
          <w:bCs w:val="0"/>
        </w:rPr>
        <w:t>2</w:t>
      </w:r>
      <w:r>
        <w:rPr>
          <w:b w:val="0"/>
          <w:bCs w:val="0"/>
        </w:rPr>
        <w:tab/>
      </w:r>
      <w:r>
        <w:rPr>
          <w:b w:val="0"/>
          <w:bCs w:val="0"/>
        </w:rPr>
        <w:tab/>
      </w:r>
      <w:r w:rsidR="009576B4">
        <w:rPr>
          <w:b w:val="0"/>
          <w:bCs w:val="0"/>
        </w:rPr>
        <w:t>4</w:t>
      </w:r>
    </w:p>
    <w:p w14:paraId="196B3D03" w14:textId="50A6710F" w:rsidR="006928B9" w:rsidRDefault="006928B9" w:rsidP="006928B9">
      <w:pPr>
        <w:pStyle w:val="Heading1"/>
        <w:tabs>
          <w:tab w:val="left" w:pos="1620"/>
          <w:tab w:val="left" w:pos="5850"/>
          <w:tab w:val="left" w:pos="7200"/>
          <w:tab w:val="left" w:pos="8460"/>
        </w:tabs>
        <w:spacing w:before="0" w:line="276" w:lineRule="auto"/>
        <w:ind w:left="533" w:right="14"/>
        <w:rPr>
          <w:b w:val="0"/>
          <w:bCs w:val="0"/>
        </w:rPr>
      </w:pPr>
      <w:r>
        <w:rPr>
          <w:b w:val="0"/>
          <w:bCs w:val="0"/>
        </w:rPr>
        <w:tab/>
        <w:t>College service</w:t>
      </w:r>
      <w:r w:rsidR="00167D55" w:rsidRPr="00167D55">
        <w:rPr>
          <w:b w:val="0"/>
          <w:bCs w:val="0"/>
          <w:vertAlign w:val="superscript"/>
        </w:rPr>
        <w:t>5</w:t>
      </w:r>
      <w:r>
        <w:rPr>
          <w:b w:val="0"/>
          <w:bCs w:val="0"/>
        </w:rPr>
        <w:tab/>
      </w:r>
      <w:r w:rsidR="00D94ADE">
        <w:rPr>
          <w:b w:val="0"/>
          <w:bCs w:val="0"/>
        </w:rPr>
        <w:t>2</w:t>
      </w:r>
      <w:r>
        <w:rPr>
          <w:b w:val="0"/>
          <w:bCs w:val="0"/>
        </w:rPr>
        <w:tab/>
      </w:r>
      <w:r>
        <w:rPr>
          <w:b w:val="0"/>
          <w:bCs w:val="0"/>
        </w:rPr>
        <w:tab/>
      </w:r>
      <w:r w:rsidR="009576B4">
        <w:rPr>
          <w:b w:val="0"/>
          <w:bCs w:val="0"/>
        </w:rPr>
        <w:t>4</w:t>
      </w:r>
    </w:p>
    <w:p w14:paraId="42104B85" w14:textId="2954BDC7" w:rsidR="006928B9" w:rsidRDefault="006928B9" w:rsidP="006928B9">
      <w:pPr>
        <w:pStyle w:val="Heading1"/>
        <w:tabs>
          <w:tab w:val="left" w:pos="1620"/>
          <w:tab w:val="left" w:pos="5850"/>
          <w:tab w:val="left" w:pos="7200"/>
          <w:tab w:val="left" w:pos="8460"/>
        </w:tabs>
        <w:spacing w:before="0" w:line="276" w:lineRule="auto"/>
        <w:ind w:left="533" w:right="14"/>
        <w:rPr>
          <w:b w:val="0"/>
          <w:bCs w:val="0"/>
        </w:rPr>
      </w:pPr>
      <w:r>
        <w:rPr>
          <w:b w:val="0"/>
          <w:bCs w:val="0"/>
        </w:rPr>
        <w:tab/>
        <w:t>SOHA service</w:t>
      </w:r>
      <w:r w:rsidR="00167D55" w:rsidRPr="00167D55">
        <w:rPr>
          <w:b w:val="0"/>
          <w:bCs w:val="0"/>
          <w:vertAlign w:val="superscript"/>
        </w:rPr>
        <w:t>6</w:t>
      </w:r>
      <w:r>
        <w:rPr>
          <w:b w:val="0"/>
          <w:bCs w:val="0"/>
        </w:rPr>
        <w:tab/>
      </w:r>
      <w:r w:rsidR="00D94ADE">
        <w:rPr>
          <w:b w:val="0"/>
          <w:bCs w:val="0"/>
        </w:rPr>
        <w:t>1.5</w:t>
      </w:r>
      <w:r>
        <w:rPr>
          <w:b w:val="0"/>
          <w:bCs w:val="0"/>
        </w:rPr>
        <w:tab/>
      </w:r>
      <w:r>
        <w:rPr>
          <w:b w:val="0"/>
          <w:bCs w:val="0"/>
        </w:rPr>
        <w:tab/>
        <w:t>2</w:t>
      </w:r>
    </w:p>
    <w:p w14:paraId="062E0656" w14:textId="3301573B" w:rsidR="006928B9" w:rsidRDefault="006928B9" w:rsidP="006928B9">
      <w:pPr>
        <w:pStyle w:val="Heading1"/>
        <w:tabs>
          <w:tab w:val="left" w:pos="1620"/>
          <w:tab w:val="left" w:pos="5850"/>
          <w:tab w:val="left" w:pos="7200"/>
          <w:tab w:val="left" w:pos="8460"/>
        </w:tabs>
        <w:spacing w:before="0" w:line="276" w:lineRule="auto"/>
        <w:ind w:left="533" w:right="14"/>
        <w:rPr>
          <w:b w:val="0"/>
          <w:bCs w:val="0"/>
        </w:rPr>
      </w:pPr>
      <w:r>
        <w:rPr>
          <w:b w:val="0"/>
          <w:bCs w:val="0"/>
        </w:rPr>
        <w:tab/>
        <w:t>Professional service</w:t>
      </w:r>
      <w:r w:rsidR="00167D55" w:rsidRPr="00167D55">
        <w:rPr>
          <w:b w:val="0"/>
          <w:bCs w:val="0"/>
          <w:vertAlign w:val="superscript"/>
        </w:rPr>
        <w:t>7</w:t>
      </w:r>
      <w:r>
        <w:rPr>
          <w:b w:val="0"/>
          <w:bCs w:val="0"/>
        </w:rPr>
        <w:tab/>
        <w:t>1</w:t>
      </w:r>
      <w:r w:rsidR="00D94ADE">
        <w:rPr>
          <w:b w:val="0"/>
          <w:bCs w:val="0"/>
        </w:rPr>
        <w:t>.5</w:t>
      </w:r>
      <w:r>
        <w:rPr>
          <w:b w:val="0"/>
          <w:bCs w:val="0"/>
        </w:rPr>
        <w:tab/>
      </w:r>
      <w:r>
        <w:rPr>
          <w:b w:val="0"/>
          <w:bCs w:val="0"/>
        </w:rPr>
        <w:tab/>
      </w:r>
      <w:r w:rsidR="009576B4">
        <w:rPr>
          <w:b w:val="0"/>
          <w:bCs w:val="0"/>
        </w:rPr>
        <w:t>2</w:t>
      </w:r>
    </w:p>
    <w:p w14:paraId="2EB5BCA1" w14:textId="557C4767" w:rsidR="006928B9" w:rsidRDefault="006928B9" w:rsidP="00D94ADE">
      <w:pPr>
        <w:pStyle w:val="Heading1"/>
        <w:tabs>
          <w:tab w:val="left" w:pos="1620"/>
          <w:tab w:val="left" w:pos="5850"/>
          <w:tab w:val="left" w:pos="7200"/>
          <w:tab w:val="left" w:pos="8460"/>
        </w:tabs>
        <w:spacing w:before="0" w:line="276" w:lineRule="auto"/>
        <w:ind w:left="533" w:right="14"/>
        <w:rPr>
          <w:b w:val="0"/>
          <w:bCs w:val="0"/>
        </w:rPr>
      </w:pPr>
      <w:r>
        <w:rPr>
          <w:b w:val="0"/>
          <w:bCs w:val="0"/>
        </w:rPr>
        <w:tab/>
        <w:t>Community service</w:t>
      </w:r>
      <w:r w:rsidR="00167D55" w:rsidRPr="00167D55">
        <w:rPr>
          <w:b w:val="0"/>
          <w:bCs w:val="0"/>
          <w:vertAlign w:val="superscript"/>
        </w:rPr>
        <w:t>8</w:t>
      </w:r>
      <w:r>
        <w:rPr>
          <w:b w:val="0"/>
          <w:bCs w:val="0"/>
        </w:rPr>
        <w:tab/>
      </w:r>
      <w:r w:rsidR="00D94ADE">
        <w:rPr>
          <w:b w:val="0"/>
          <w:bCs w:val="0"/>
        </w:rPr>
        <w:t>1</w:t>
      </w:r>
      <w:r>
        <w:rPr>
          <w:b w:val="0"/>
          <w:bCs w:val="0"/>
        </w:rPr>
        <w:tab/>
      </w:r>
      <w:r>
        <w:rPr>
          <w:b w:val="0"/>
          <w:bCs w:val="0"/>
        </w:rPr>
        <w:tab/>
      </w:r>
      <w:r w:rsidR="009576B4">
        <w:rPr>
          <w:b w:val="0"/>
          <w:bCs w:val="0"/>
        </w:rPr>
        <w:t>1.5</w:t>
      </w:r>
    </w:p>
    <w:p w14:paraId="706918C7" w14:textId="1BCC1383" w:rsidR="006928B9" w:rsidRDefault="006928B9" w:rsidP="00D94ADE">
      <w:pPr>
        <w:pStyle w:val="Heading1"/>
        <w:tabs>
          <w:tab w:val="left" w:pos="1620"/>
          <w:tab w:val="left" w:pos="5850"/>
          <w:tab w:val="left" w:pos="7200"/>
          <w:tab w:val="left" w:pos="8460"/>
        </w:tabs>
        <w:spacing w:before="0" w:line="276" w:lineRule="auto"/>
        <w:ind w:left="533" w:right="14"/>
        <w:rPr>
          <w:b w:val="0"/>
          <w:bCs w:val="0"/>
        </w:rPr>
      </w:pPr>
      <w:r>
        <w:rPr>
          <w:b w:val="0"/>
          <w:bCs w:val="0"/>
        </w:rPr>
        <w:tab/>
        <w:t>Consulting</w:t>
      </w:r>
      <w:r w:rsidR="00167D55" w:rsidRPr="00167D55">
        <w:rPr>
          <w:b w:val="0"/>
          <w:bCs w:val="0"/>
          <w:vertAlign w:val="superscript"/>
        </w:rPr>
        <w:t>9</w:t>
      </w:r>
      <w:r w:rsidR="00D94ADE">
        <w:rPr>
          <w:b w:val="0"/>
          <w:bCs w:val="0"/>
        </w:rPr>
        <w:tab/>
        <w:t>1</w:t>
      </w:r>
      <w:r w:rsidR="009576B4">
        <w:rPr>
          <w:b w:val="0"/>
          <w:bCs w:val="0"/>
        </w:rPr>
        <w:tab/>
      </w:r>
      <w:r w:rsidR="009576B4">
        <w:rPr>
          <w:b w:val="0"/>
          <w:bCs w:val="0"/>
        </w:rPr>
        <w:tab/>
        <w:t>XX</w:t>
      </w:r>
    </w:p>
    <w:p w14:paraId="651E97D1" w14:textId="6C830BC9" w:rsidR="006928B9" w:rsidRDefault="00D94ADE" w:rsidP="006928B9">
      <w:pPr>
        <w:pStyle w:val="Heading1"/>
        <w:tabs>
          <w:tab w:val="left" w:pos="1620"/>
          <w:tab w:val="left" w:pos="5850"/>
          <w:tab w:val="left" w:pos="7200"/>
          <w:tab w:val="left" w:pos="8460"/>
        </w:tabs>
        <w:spacing w:before="0" w:after="120" w:line="276" w:lineRule="auto"/>
        <w:ind w:left="533" w:right="14"/>
        <w:rPr>
          <w:b w:val="0"/>
          <w:bCs w:val="0"/>
        </w:rPr>
      </w:pPr>
      <w:r>
        <w:rPr>
          <w:b w:val="0"/>
          <w:bCs w:val="0"/>
        </w:rPr>
        <w:tab/>
      </w:r>
      <w:r w:rsidR="006928B9">
        <w:rPr>
          <w:b w:val="0"/>
          <w:bCs w:val="0"/>
        </w:rPr>
        <w:t>Service</w:t>
      </w:r>
      <w:r>
        <w:rPr>
          <w:b w:val="0"/>
          <w:bCs w:val="0"/>
        </w:rPr>
        <w:t xml:space="preserve"> collegiality</w:t>
      </w:r>
      <w:r w:rsidR="00167D55" w:rsidRPr="00167D55">
        <w:rPr>
          <w:b w:val="0"/>
          <w:bCs w:val="0"/>
          <w:vertAlign w:val="superscript"/>
        </w:rPr>
        <w:t>10</w:t>
      </w:r>
      <w:r>
        <w:rPr>
          <w:b w:val="0"/>
          <w:bCs w:val="0"/>
        </w:rPr>
        <w:tab/>
        <w:t>1</w:t>
      </w:r>
      <w:r w:rsidR="009576B4">
        <w:rPr>
          <w:b w:val="0"/>
          <w:bCs w:val="0"/>
        </w:rPr>
        <w:tab/>
      </w:r>
      <w:r w:rsidR="009576B4">
        <w:rPr>
          <w:b w:val="0"/>
          <w:bCs w:val="0"/>
        </w:rPr>
        <w:tab/>
        <w:t>XX</w:t>
      </w:r>
    </w:p>
    <w:p w14:paraId="7865C6FB" w14:textId="448ECC7C" w:rsidR="009576B4" w:rsidRDefault="00FB0753" w:rsidP="00FB0753">
      <w:pPr>
        <w:pStyle w:val="Heading1"/>
        <w:tabs>
          <w:tab w:val="left" w:pos="1620"/>
          <w:tab w:val="left" w:pos="5850"/>
          <w:tab w:val="left" w:pos="7200"/>
          <w:tab w:val="left" w:pos="8460"/>
        </w:tabs>
        <w:spacing w:before="0" w:after="120" w:line="276" w:lineRule="auto"/>
        <w:ind w:left="1620" w:right="14"/>
        <w:rPr>
          <w:b w:val="0"/>
          <w:bCs w:val="0"/>
        </w:rPr>
      </w:pPr>
      <w:r>
        <w:rPr>
          <w:b w:val="0"/>
          <w:bCs w:val="0"/>
        </w:rPr>
        <w:t xml:space="preserve">N.B.: At least 50% of service activities for Tenure and Promotion should be in </w:t>
      </w:r>
      <w:r>
        <w:rPr>
          <w:b w:val="0"/>
          <w:bCs w:val="0"/>
        </w:rPr>
        <w:lastRenderedPageBreak/>
        <w:t>SOHA service</w:t>
      </w:r>
      <w:r w:rsidR="00B03995">
        <w:rPr>
          <w:b w:val="0"/>
          <w:bCs w:val="0"/>
        </w:rPr>
        <w:t xml:space="preserve">. </w:t>
      </w:r>
      <w:r w:rsidR="008F03F2">
        <w:rPr>
          <w:b w:val="0"/>
          <w:bCs w:val="0"/>
        </w:rPr>
        <w:t>Uncompensated service is weighed higher than compensated service</w:t>
      </w:r>
      <w:r w:rsidR="00802DD2">
        <w:rPr>
          <w:b w:val="0"/>
          <w:bCs w:val="0"/>
        </w:rPr>
        <w:t xml:space="preserve"> (</w:t>
      </w:r>
      <w:r w:rsidR="001F194E">
        <w:rPr>
          <w:b w:val="0"/>
          <w:bCs w:val="0"/>
        </w:rPr>
        <w:t xml:space="preserve">e.g., </w:t>
      </w:r>
      <w:r w:rsidR="00802DD2">
        <w:rPr>
          <w:b w:val="0"/>
          <w:bCs w:val="0"/>
        </w:rPr>
        <w:t>workload release for PD)</w:t>
      </w:r>
      <w:r w:rsidR="008F03F2">
        <w:rPr>
          <w:b w:val="0"/>
          <w:bCs w:val="0"/>
        </w:rPr>
        <w:t>.</w:t>
      </w:r>
    </w:p>
    <w:p w14:paraId="1403008E" w14:textId="7DB7A0E7" w:rsidR="00FB0753" w:rsidRDefault="00FB0753" w:rsidP="00EE6E9F">
      <w:pPr>
        <w:pStyle w:val="Heading1"/>
        <w:tabs>
          <w:tab w:val="left" w:pos="5850"/>
          <w:tab w:val="left" w:pos="7200"/>
          <w:tab w:val="left" w:pos="8460"/>
        </w:tabs>
        <w:spacing w:before="0" w:after="120" w:line="276" w:lineRule="auto"/>
        <w:ind w:left="1710" w:right="14" w:hanging="90"/>
        <w:rPr>
          <w:b w:val="0"/>
          <w:bCs w:val="0"/>
        </w:rPr>
      </w:pPr>
      <w:r w:rsidRPr="00E4393A">
        <w:rPr>
          <w:b w:val="0"/>
          <w:bCs w:val="0"/>
          <w:vertAlign w:val="superscript"/>
        </w:rPr>
        <w:t>1</w:t>
      </w:r>
      <w:r>
        <w:rPr>
          <w:b w:val="0"/>
          <w:bCs w:val="0"/>
        </w:rPr>
        <w:t>Activity goes beyond routine duties as a faculty member (e.g., registration duties, commencement attendance</w:t>
      </w:r>
      <w:r w:rsidR="001F194E">
        <w:rPr>
          <w:b w:val="0"/>
          <w:bCs w:val="0"/>
        </w:rPr>
        <w:t>, faculty &amp; PC meetings</w:t>
      </w:r>
      <w:r w:rsidR="00BF1001" w:rsidRPr="00BF1001">
        <w:rPr>
          <w:b w:val="0"/>
          <w:bCs w:val="0"/>
        </w:rPr>
        <w:t xml:space="preserve"> </w:t>
      </w:r>
      <w:r w:rsidR="00BF1001">
        <w:rPr>
          <w:b w:val="0"/>
          <w:bCs w:val="0"/>
        </w:rPr>
        <w:t>do not count</w:t>
      </w:r>
      <w:r w:rsidR="008B15FD">
        <w:rPr>
          <w:b w:val="0"/>
          <w:bCs w:val="0"/>
        </w:rPr>
        <w:t>)</w:t>
      </w:r>
    </w:p>
    <w:p w14:paraId="4C8A7771" w14:textId="5B608469" w:rsidR="008B15FD" w:rsidRDefault="008B15FD" w:rsidP="00EE6E9F">
      <w:pPr>
        <w:pStyle w:val="Heading1"/>
        <w:tabs>
          <w:tab w:val="left" w:pos="5850"/>
          <w:tab w:val="left" w:pos="7200"/>
          <w:tab w:val="left" w:pos="8460"/>
        </w:tabs>
        <w:spacing w:before="0" w:after="120" w:line="276" w:lineRule="auto"/>
        <w:ind w:left="1710" w:right="14" w:hanging="90"/>
        <w:rPr>
          <w:b w:val="0"/>
          <w:bCs w:val="0"/>
        </w:rPr>
      </w:pPr>
      <w:r w:rsidRPr="00E4393A">
        <w:rPr>
          <w:b w:val="0"/>
          <w:bCs w:val="0"/>
          <w:vertAlign w:val="superscript"/>
        </w:rPr>
        <w:t>2</w:t>
      </w:r>
      <w:r>
        <w:rPr>
          <w:b w:val="0"/>
          <w:bCs w:val="0"/>
        </w:rPr>
        <w:t xml:space="preserve">Active participation includes attendance at meetings as a member of the group. </w:t>
      </w:r>
      <w:r w:rsidR="00693710">
        <w:rPr>
          <w:b w:val="0"/>
          <w:bCs w:val="0"/>
        </w:rPr>
        <w:t>Personal travel or outside employment should not interfere with active participation.</w:t>
      </w:r>
    </w:p>
    <w:p w14:paraId="7ABB23E5" w14:textId="085F6604" w:rsidR="00693710" w:rsidRDefault="00693710" w:rsidP="00EE6E9F">
      <w:pPr>
        <w:pStyle w:val="Heading1"/>
        <w:tabs>
          <w:tab w:val="left" w:pos="5850"/>
          <w:tab w:val="left" w:pos="7200"/>
          <w:tab w:val="left" w:pos="8460"/>
        </w:tabs>
        <w:spacing w:before="0" w:after="120" w:line="276" w:lineRule="auto"/>
        <w:ind w:left="1710" w:right="14" w:hanging="90"/>
        <w:rPr>
          <w:b w:val="0"/>
          <w:bCs w:val="0"/>
        </w:rPr>
      </w:pPr>
      <w:r w:rsidRPr="00E4393A">
        <w:rPr>
          <w:b w:val="0"/>
          <w:bCs w:val="0"/>
          <w:vertAlign w:val="superscript"/>
        </w:rPr>
        <w:t>3</w:t>
      </w:r>
      <w:r>
        <w:rPr>
          <w:b w:val="0"/>
          <w:bCs w:val="0"/>
        </w:rPr>
        <w:t xml:space="preserve">Leadership includes attendance at meetings as a </w:t>
      </w:r>
      <w:r w:rsidR="008F33DB">
        <w:rPr>
          <w:b w:val="0"/>
          <w:bCs w:val="0"/>
        </w:rPr>
        <w:t>leader</w:t>
      </w:r>
      <w:r>
        <w:rPr>
          <w:b w:val="0"/>
          <w:bCs w:val="0"/>
        </w:rPr>
        <w:t xml:space="preserve"> of the group</w:t>
      </w:r>
      <w:r w:rsidR="008F33DB">
        <w:rPr>
          <w:b w:val="0"/>
          <w:bCs w:val="0"/>
        </w:rPr>
        <w:t xml:space="preserve"> or </w:t>
      </w:r>
      <w:r w:rsidR="007F55EF">
        <w:rPr>
          <w:b w:val="0"/>
          <w:bCs w:val="0"/>
        </w:rPr>
        <w:t xml:space="preserve">chair of the </w:t>
      </w:r>
      <w:r w:rsidR="008F33DB">
        <w:rPr>
          <w:b w:val="0"/>
          <w:bCs w:val="0"/>
        </w:rPr>
        <w:t>committee</w:t>
      </w:r>
      <w:r>
        <w:rPr>
          <w:b w:val="0"/>
          <w:bCs w:val="0"/>
        </w:rPr>
        <w:t>.</w:t>
      </w:r>
    </w:p>
    <w:p w14:paraId="0B454B5A" w14:textId="3E3C2263" w:rsidR="008F33DB" w:rsidRDefault="008F33DB" w:rsidP="00EE6E9F">
      <w:pPr>
        <w:pStyle w:val="Heading1"/>
        <w:tabs>
          <w:tab w:val="left" w:pos="5850"/>
          <w:tab w:val="left" w:pos="7200"/>
          <w:tab w:val="left" w:pos="8460"/>
        </w:tabs>
        <w:spacing w:before="0" w:after="120" w:line="276" w:lineRule="auto"/>
        <w:ind w:left="1710" w:right="14" w:hanging="90"/>
        <w:rPr>
          <w:b w:val="0"/>
          <w:bCs w:val="0"/>
        </w:rPr>
      </w:pPr>
      <w:r w:rsidRPr="00E4393A">
        <w:rPr>
          <w:b w:val="0"/>
          <w:bCs w:val="0"/>
          <w:vertAlign w:val="superscript"/>
        </w:rPr>
        <w:t>4</w:t>
      </w:r>
      <w:r>
        <w:rPr>
          <w:b w:val="0"/>
          <w:bCs w:val="0"/>
        </w:rPr>
        <w:t xml:space="preserve">Examples include councils, committees, task forces, and special projects assigned by the Provost and </w:t>
      </w:r>
      <w:r w:rsidR="00F11E4D">
        <w:rPr>
          <w:b w:val="0"/>
          <w:bCs w:val="0"/>
        </w:rPr>
        <w:t>Associate</w:t>
      </w:r>
      <w:r>
        <w:rPr>
          <w:b w:val="0"/>
          <w:bCs w:val="0"/>
        </w:rPr>
        <w:t xml:space="preserve"> Provost for Academic Affairs or the President. </w:t>
      </w:r>
    </w:p>
    <w:p w14:paraId="0511DCD7" w14:textId="18A9ECC3" w:rsidR="00167D55" w:rsidRDefault="00167D55" w:rsidP="00EE6E9F">
      <w:pPr>
        <w:pStyle w:val="Heading1"/>
        <w:tabs>
          <w:tab w:val="left" w:pos="5850"/>
          <w:tab w:val="left" w:pos="7200"/>
          <w:tab w:val="left" w:pos="8460"/>
        </w:tabs>
        <w:spacing w:before="0" w:after="120" w:line="276" w:lineRule="auto"/>
        <w:ind w:left="1710" w:right="14" w:hanging="90"/>
        <w:rPr>
          <w:b w:val="0"/>
          <w:bCs w:val="0"/>
        </w:rPr>
      </w:pPr>
      <w:r w:rsidRPr="00167D55">
        <w:rPr>
          <w:b w:val="0"/>
          <w:bCs w:val="0"/>
          <w:vertAlign w:val="superscript"/>
        </w:rPr>
        <w:t>5</w:t>
      </w:r>
      <w:r>
        <w:rPr>
          <w:b w:val="0"/>
          <w:bCs w:val="0"/>
        </w:rPr>
        <w:t>Examples include councils, committees, task forces, and special projects assigned by the Dean.</w:t>
      </w:r>
    </w:p>
    <w:p w14:paraId="49ECA9AA" w14:textId="59A57EC3" w:rsidR="00167D55" w:rsidRDefault="00167D55" w:rsidP="00EE6E9F">
      <w:pPr>
        <w:pStyle w:val="Heading1"/>
        <w:tabs>
          <w:tab w:val="left" w:pos="5850"/>
          <w:tab w:val="left" w:pos="7200"/>
          <w:tab w:val="left" w:pos="8460"/>
        </w:tabs>
        <w:spacing w:before="0" w:after="120" w:line="276" w:lineRule="auto"/>
        <w:ind w:left="1710" w:right="14" w:hanging="90"/>
        <w:rPr>
          <w:b w:val="0"/>
          <w:bCs w:val="0"/>
        </w:rPr>
      </w:pPr>
      <w:r w:rsidRPr="00167D55">
        <w:rPr>
          <w:b w:val="0"/>
          <w:bCs w:val="0"/>
          <w:vertAlign w:val="superscript"/>
        </w:rPr>
        <w:t>6</w:t>
      </w:r>
      <w:r>
        <w:rPr>
          <w:b w:val="0"/>
          <w:bCs w:val="0"/>
        </w:rPr>
        <w:t xml:space="preserve">Examples </w:t>
      </w:r>
      <w:r w:rsidR="00262961">
        <w:rPr>
          <w:b w:val="0"/>
          <w:bCs w:val="0"/>
        </w:rPr>
        <w:t>include committees, task forces, and special projects assigned by the Director.</w:t>
      </w:r>
    </w:p>
    <w:p w14:paraId="3CFCF288" w14:textId="50032A64" w:rsidR="00262961" w:rsidRDefault="00262961" w:rsidP="00EE6E9F">
      <w:pPr>
        <w:pStyle w:val="Heading1"/>
        <w:tabs>
          <w:tab w:val="left" w:pos="5850"/>
          <w:tab w:val="left" w:pos="7200"/>
          <w:tab w:val="left" w:pos="8460"/>
        </w:tabs>
        <w:spacing w:before="0" w:after="120" w:line="276" w:lineRule="auto"/>
        <w:ind w:left="1710" w:right="14" w:hanging="90"/>
        <w:rPr>
          <w:b w:val="0"/>
          <w:bCs w:val="0"/>
        </w:rPr>
      </w:pPr>
      <w:r w:rsidRPr="00262961">
        <w:rPr>
          <w:b w:val="0"/>
          <w:bCs w:val="0"/>
          <w:vertAlign w:val="superscript"/>
        </w:rPr>
        <w:t>7</w:t>
      </w:r>
      <w:r>
        <w:rPr>
          <w:b w:val="0"/>
          <w:bCs w:val="0"/>
        </w:rPr>
        <w:t>Examples include colleges, societies, and associations relevant to teaching specialties.</w:t>
      </w:r>
    </w:p>
    <w:p w14:paraId="247E1386" w14:textId="2AF58CC2" w:rsidR="00262961" w:rsidRDefault="00262961" w:rsidP="00EE6E9F">
      <w:pPr>
        <w:pStyle w:val="Heading1"/>
        <w:tabs>
          <w:tab w:val="left" w:pos="5850"/>
          <w:tab w:val="left" w:pos="7200"/>
          <w:tab w:val="left" w:pos="8460"/>
        </w:tabs>
        <w:spacing w:before="0" w:after="120" w:line="276" w:lineRule="auto"/>
        <w:ind w:left="1710" w:right="14" w:hanging="90"/>
        <w:rPr>
          <w:b w:val="0"/>
          <w:bCs w:val="0"/>
        </w:rPr>
      </w:pPr>
      <w:r w:rsidRPr="00262961">
        <w:rPr>
          <w:b w:val="0"/>
          <w:bCs w:val="0"/>
          <w:vertAlign w:val="superscript"/>
        </w:rPr>
        <w:t>8</w:t>
      </w:r>
      <w:r>
        <w:rPr>
          <w:b w:val="0"/>
          <w:bCs w:val="0"/>
        </w:rPr>
        <w:t>Community service includes voluntary, non-compensated activities in the community that relate to your profession.</w:t>
      </w:r>
    </w:p>
    <w:p w14:paraId="2925C219" w14:textId="3118EEA3" w:rsidR="00262961" w:rsidRDefault="00262961" w:rsidP="00EE6E9F">
      <w:pPr>
        <w:pStyle w:val="Heading1"/>
        <w:tabs>
          <w:tab w:val="left" w:pos="5850"/>
          <w:tab w:val="left" w:pos="7200"/>
          <w:tab w:val="left" w:pos="8460"/>
        </w:tabs>
        <w:spacing w:before="0" w:after="120" w:line="276" w:lineRule="auto"/>
        <w:ind w:left="1710" w:right="14" w:hanging="90"/>
        <w:rPr>
          <w:b w:val="0"/>
          <w:bCs w:val="0"/>
        </w:rPr>
      </w:pPr>
      <w:r w:rsidRPr="00262961">
        <w:rPr>
          <w:b w:val="0"/>
          <w:bCs w:val="0"/>
          <w:vertAlign w:val="superscript"/>
        </w:rPr>
        <w:t>9</w:t>
      </w:r>
      <w:r>
        <w:rPr>
          <w:b w:val="0"/>
          <w:bCs w:val="0"/>
        </w:rPr>
        <w:t xml:space="preserve">Consulting </w:t>
      </w:r>
      <w:r w:rsidR="000405BB">
        <w:rPr>
          <w:b w:val="0"/>
          <w:bCs w:val="0"/>
        </w:rPr>
        <w:t>includes all compensated activities in the community/profession</w:t>
      </w:r>
    </w:p>
    <w:p w14:paraId="2487BC15" w14:textId="0529E766" w:rsidR="000405BB" w:rsidRDefault="000405BB" w:rsidP="00EE6E9F">
      <w:pPr>
        <w:pStyle w:val="Heading1"/>
        <w:tabs>
          <w:tab w:val="left" w:pos="5850"/>
          <w:tab w:val="left" w:pos="7200"/>
          <w:tab w:val="left" w:pos="8460"/>
        </w:tabs>
        <w:spacing w:before="0" w:after="120" w:line="276" w:lineRule="auto"/>
        <w:ind w:left="1800" w:right="14" w:hanging="180"/>
        <w:rPr>
          <w:b w:val="0"/>
          <w:bCs w:val="0"/>
        </w:rPr>
      </w:pPr>
      <w:r w:rsidRPr="000405BB">
        <w:rPr>
          <w:b w:val="0"/>
          <w:bCs w:val="0"/>
          <w:vertAlign w:val="superscript"/>
        </w:rPr>
        <w:t>10</w:t>
      </w:r>
      <w:r>
        <w:rPr>
          <w:b w:val="0"/>
          <w:bCs w:val="0"/>
        </w:rPr>
        <w:t xml:space="preserve">Collective responsibility for the service activities </w:t>
      </w:r>
      <w:r w:rsidR="00CE2B1F">
        <w:rPr>
          <w:b w:val="0"/>
          <w:bCs w:val="0"/>
        </w:rPr>
        <w:t>of SOHA (e.g., assistance at registration, graduation, advising, announcements in the class</w:t>
      </w:r>
      <w:r w:rsidR="00EE6E9F">
        <w:rPr>
          <w:b w:val="0"/>
          <w:bCs w:val="0"/>
        </w:rPr>
        <w:t>, etc.) as determined by SOHA faculty. Service collegiality is a function of both the quantity and quality of time spent engaged in SOHA service activities.</w:t>
      </w:r>
    </w:p>
    <w:p w14:paraId="02455CBE" w14:textId="1A221F2D" w:rsidR="0027705C" w:rsidRDefault="00B1397D" w:rsidP="00EE60BF">
      <w:pPr>
        <w:pStyle w:val="Heading1"/>
        <w:tabs>
          <w:tab w:val="left" w:pos="1620"/>
        </w:tabs>
        <w:spacing w:before="0" w:after="120" w:line="276" w:lineRule="auto"/>
        <w:ind w:left="1620" w:right="20" w:hanging="450"/>
        <w:rPr>
          <w:b w:val="0"/>
          <w:bCs w:val="0"/>
        </w:rPr>
      </w:pPr>
      <w:r>
        <w:rPr>
          <w:b w:val="0"/>
          <w:bCs w:val="0"/>
        </w:rPr>
        <w:t>c.</w:t>
      </w:r>
      <w:r>
        <w:rPr>
          <w:b w:val="0"/>
          <w:bCs w:val="0"/>
        </w:rPr>
        <w:tab/>
      </w:r>
      <w:r w:rsidR="0027705C">
        <w:rPr>
          <w:b w:val="0"/>
          <w:bCs w:val="0"/>
        </w:rPr>
        <w:t>Scholarship</w:t>
      </w:r>
      <w:r w:rsidR="00C96EC7">
        <w:rPr>
          <w:b w:val="0"/>
          <w:bCs w:val="0"/>
        </w:rPr>
        <w:t>. See SOHA T&amp;P policy for specifics of what qualifies.</w:t>
      </w:r>
      <w:r w:rsidR="00073143">
        <w:rPr>
          <w:b w:val="0"/>
          <w:bCs w:val="0"/>
        </w:rPr>
        <w:t xml:space="preserve"> The goal is 2 data-driven </w:t>
      </w:r>
      <w:r w:rsidR="001421F3">
        <w:rPr>
          <w:b w:val="0"/>
          <w:bCs w:val="0"/>
        </w:rPr>
        <w:t xml:space="preserve">research articles published in a </w:t>
      </w:r>
      <w:proofErr w:type="gramStart"/>
      <w:r w:rsidR="001421F3">
        <w:rPr>
          <w:b w:val="0"/>
          <w:bCs w:val="0"/>
        </w:rPr>
        <w:t>high quality</w:t>
      </w:r>
      <w:proofErr w:type="gramEnd"/>
      <w:r w:rsidR="001421F3">
        <w:rPr>
          <w:b w:val="0"/>
          <w:bCs w:val="0"/>
        </w:rPr>
        <w:t xml:space="preserve"> journal with an impact factor of 1.0 or greater. However, SOHA also recognizes</w:t>
      </w:r>
      <w:r w:rsidR="003E2E3E">
        <w:rPr>
          <w:b w:val="0"/>
          <w:bCs w:val="0"/>
        </w:rPr>
        <w:t xml:space="preserve"> other scholarly activities. The following table provides value relative to the expected standard of 2 articles.</w:t>
      </w:r>
    </w:p>
    <w:p w14:paraId="1CE42E8C" w14:textId="627A801B" w:rsidR="00C4673A" w:rsidRPr="00AE4626" w:rsidRDefault="00C256CC" w:rsidP="00C256CC">
      <w:pPr>
        <w:pStyle w:val="Heading1"/>
        <w:tabs>
          <w:tab w:val="left" w:pos="7650"/>
        </w:tabs>
        <w:spacing w:before="0" w:after="120" w:line="276" w:lineRule="auto"/>
        <w:ind w:left="1620" w:right="20"/>
        <w:rPr>
          <w:b w:val="0"/>
          <w:bCs w:val="0"/>
          <w:u w:val="single"/>
        </w:rPr>
      </w:pPr>
      <w:r w:rsidRPr="00AE4626">
        <w:rPr>
          <w:b w:val="0"/>
          <w:bCs w:val="0"/>
          <w:u w:val="single"/>
        </w:rPr>
        <w:t>Research Outcomes</w:t>
      </w:r>
      <w:r w:rsidRPr="00AE4626">
        <w:rPr>
          <w:b w:val="0"/>
          <w:bCs w:val="0"/>
          <w:u w:val="single"/>
        </w:rPr>
        <w:tab/>
        <w:t>Merit Value</w:t>
      </w:r>
    </w:p>
    <w:p w14:paraId="4D84FD16" w14:textId="5958FF00" w:rsidR="00FD001A" w:rsidRDefault="00FD001A" w:rsidP="00A6200B">
      <w:pPr>
        <w:pStyle w:val="Heading1"/>
        <w:numPr>
          <w:ilvl w:val="0"/>
          <w:numId w:val="9"/>
        </w:numPr>
        <w:tabs>
          <w:tab w:val="left" w:pos="7830"/>
        </w:tabs>
        <w:spacing w:before="0" w:line="276" w:lineRule="auto"/>
        <w:ind w:left="1979" w:right="14"/>
        <w:rPr>
          <w:b w:val="0"/>
          <w:bCs w:val="0"/>
        </w:rPr>
      </w:pPr>
      <w:r>
        <w:rPr>
          <w:b w:val="0"/>
          <w:bCs w:val="0"/>
        </w:rPr>
        <w:t xml:space="preserve">First author, </w:t>
      </w:r>
      <w:r w:rsidR="007E2C3C">
        <w:rPr>
          <w:b w:val="0"/>
          <w:bCs w:val="0"/>
        </w:rPr>
        <w:t xml:space="preserve">data-driven, </w:t>
      </w:r>
      <w:r>
        <w:rPr>
          <w:b w:val="0"/>
          <w:bCs w:val="0"/>
        </w:rPr>
        <w:t xml:space="preserve">peer-reviewed </w:t>
      </w:r>
      <w:r w:rsidR="00BA468D">
        <w:rPr>
          <w:b w:val="0"/>
          <w:bCs w:val="0"/>
        </w:rPr>
        <w:t xml:space="preserve">research </w:t>
      </w:r>
      <w:r>
        <w:rPr>
          <w:b w:val="0"/>
          <w:bCs w:val="0"/>
        </w:rPr>
        <w:t>article</w:t>
      </w:r>
      <w:r w:rsidR="002D0602">
        <w:rPr>
          <w:b w:val="0"/>
          <w:bCs w:val="0"/>
        </w:rPr>
        <w:t>,</w:t>
      </w:r>
      <w:r w:rsidR="00384F30">
        <w:rPr>
          <w:b w:val="0"/>
          <w:bCs w:val="0"/>
        </w:rPr>
        <w:tab/>
        <w:t>2 each</w:t>
      </w:r>
    </w:p>
    <w:p w14:paraId="75475856" w14:textId="5C3D6EF8" w:rsidR="002D0602" w:rsidRDefault="007E2C3C" w:rsidP="00A6200B">
      <w:pPr>
        <w:pStyle w:val="Heading1"/>
        <w:tabs>
          <w:tab w:val="left" w:pos="7830"/>
        </w:tabs>
        <w:spacing w:before="0" w:line="276" w:lineRule="auto"/>
        <w:ind w:left="1979" w:right="14"/>
        <w:rPr>
          <w:b w:val="0"/>
          <w:bCs w:val="0"/>
        </w:rPr>
      </w:pPr>
      <w:r>
        <w:rPr>
          <w:b w:val="0"/>
          <w:bCs w:val="0"/>
        </w:rPr>
        <w:t>in scope, p</w:t>
      </w:r>
      <w:r w:rsidR="002D0602">
        <w:rPr>
          <w:b w:val="0"/>
          <w:bCs w:val="0"/>
        </w:rPr>
        <w:t xml:space="preserve">ublished in scholarly journal with IF </w:t>
      </w:r>
      <w:r w:rsidR="002D0602" w:rsidRPr="002D0602">
        <w:rPr>
          <w:b w:val="0"/>
          <w:bCs w:val="0"/>
          <w:u w:val="single"/>
        </w:rPr>
        <w:t>&gt;</w:t>
      </w:r>
      <w:r w:rsidR="002D0602">
        <w:rPr>
          <w:b w:val="0"/>
          <w:bCs w:val="0"/>
        </w:rPr>
        <w:t xml:space="preserve"> 1.0</w:t>
      </w:r>
      <w:r w:rsidR="002D0602" w:rsidRPr="002D0602">
        <w:rPr>
          <w:b w:val="0"/>
          <w:bCs w:val="0"/>
          <w:vertAlign w:val="superscript"/>
        </w:rPr>
        <w:t>1,2</w:t>
      </w:r>
      <w:r w:rsidR="00384F30">
        <w:rPr>
          <w:b w:val="0"/>
          <w:bCs w:val="0"/>
          <w:vertAlign w:val="superscript"/>
        </w:rPr>
        <w:tab/>
      </w:r>
    </w:p>
    <w:p w14:paraId="37EA4014" w14:textId="2740D440" w:rsidR="002D0602" w:rsidRDefault="00C322B3" w:rsidP="00A6200B">
      <w:pPr>
        <w:pStyle w:val="Heading1"/>
        <w:numPr>
          <w:ilvl w:val="0"/>
          <w:numId w:val="9"/>
        </w:numPr>
        <w:tabs>
          <w:tab w:val="left" w:pos="7830"/>
        </w:tabs>
        <w:spacing w:before="0" w:line="276" w:lineRule="auto"/>
        <w:ind w:left="1979" w:right="14"/>
        <w:rPr>
          <w:b w:val="0"/>
          <w:bCs w:val="0"/>
        </w:rPr>
      </w:pPr>
      <w:r>
        <w:rPr>
          <w:b w:val="0"/>
          <w:bCs w:val="0"/>
        </w:rPr>
        <w:t>Peer-reviewed textbook with national focus</w:t>
      </w:r>
      <w:r w:rsidR="00950A61" w:rsidRPr="00950A61">
        <w:rPr>
          <w:b w:val="0"/>
          <w:bCs w:val="0"/>
          <w:vertAlign w:val="superscript"/>
        </w:rPr>
        <w:t>1,2</w:t>
      </w:r>
      <w:r w:rsidR="00950A61">
        <w:rPr>
          <w:b w:val="0"/>
          <w:bCs w:val="0"/>
        </w:rPr>
        <w:tab/>
      </w:r>
      <w:r w:rsidR="00F94012">
        <w:rPr>
          <w:b w:val="0"/>
          <w:bCs w:val="0"/>
        </w:rPr>
        <w:t>2</w:t>
      </w:r>
      <w:r w:rsidR="00950A61">
        <w:rPr>
          <w:b w:val="0"/>
          <w:bCs w:val="0"/>
        </w:rPr>
        <w:t xml:space="preserve"> each</w:t>
      </w:r>
    </w:p>
    <w:p w14:paraId="2DAFD3EF" w14:textId="77777777" w:rsidR="00D73B0A" w:rsidRDefault="00D73B0A" w:rsidP="00D73B0A">
      <w:pPr>
        <w:pStyle w:val="Heading1"/>
        <w:numPr>
          <w:ilvl w:val="0"/>
          <w:numId w:val="9"/>
        </w:numPr>
        <w:tabs>
          <w:tab w:val="left" w:pos="7830"/>
        </w:tabs>
        <w:spacing w:before="0" w:line="276" w:lineRule="auto"/>
        <w:ind w:left="1979" w:right="14"/>
        <w:rPr>
          <w:b w:val="0"/>
          <w:bCs w:val="0"/>
        </w:rPr>
      </w:pPr>
      <w:r>
        <w:rPr>
          <w:b w:val="0"/>
          <w:bCs w:val="0"/>
        </w:rPr>
        <w:t>External grant awarded</w:t>
      </w:r>
      <w:r w:rsidRPr="000B6CD6">
        <w:rPr>
          <w:b w:val="0"/>
          <w:bCs w:val="0"/>
          <w:vertAlign w:val="superscript"/>
        </w:rPr>
        <w:t>3,4</w:t>
      </w:r>
      <w:r>
        <w:rPr>
          <w:b w:val="0"/>
          <w:bCs w:val="0"/>
          <w:vertAlign w:val="superscript"/>
        </w:rPr>
        <w:t>,8</w:t>
      </w:r>
      <w:r>
        <w:rPr>
          <w:b w:val="0"/>
          <w:bCs w:val="0"/>
        </w:rPr>
        <w:tab/>
        <w:t>2 each</w:t>
      </w:r>
    </w:p>
    <w:p w14:paraId="65C79926" w14:textId="03FD14AD" w:rsidR="00C322B3" w:rsidRDefault="00C322B3" w:rsidP="00A6200B">
      <w:pPr>
        <w:pStyle w:val="Heading1"/>
        <w:numPr>
          <w:ilvl w:val="0"/>
          <w:numId w:val="9"/>
        </w:numPr>
        <w:tabs>
          <w:tab w:val="left" w:pos="7830"/>
        </w:tabs>
        <w:spacing w:before="0" w:line="276" w:lineRule="auto"/>
        <w:ind w:left="1979" w:right="14"/>
        <w:rPr>
          <w:b w:val="0"/>
          <w:bCs w:val="0"/>
        </w:rPr>
      </w:pPr>
      <w:r>
        <w:rPr>
          <w:b w:val="0"/>
          <w:bCs w:val="0"/>
        </w:rPr>
        <w:t xml:space="preserve">All other peer-reviewed articles or </w:t>
      </w:r>
      <w:r w:rsidR="00384F30">
        <w:rPr>
          <w:b w:val="0"/>
          <w:bCs w:val="0"/>
        </w:rPr>
        <w:t>books</w:t>
      </w:r>
      <w:r w:rsidR="00950A61" w:rsidRPr="00950A61">
        <w:rPr>
          <w:b w:val="0"/>
          <w:bCs w:val="0"/>
          <w:vertAlign w:val="superscript"/>
        </w:rPr>
        <w:t>1,2</w:t>
      </w:r>
      <w:r w:rsidR="00950A61">
        <w:rPr>
          <w:b w:val="0"/>
          <w:bCs w:val="0"/>
        </w:rPr>
        <w:tab/>
      </w:r>
      <w:r w:rsidR="00F94012">
        <w:rPr>
          <w:b w:val="0"/>
          <w:bCs w:val="0"/>
        </w:rPr>
        <w:t>1 each</w:t>
      </w:r>
    </w:p>
    <w:p w14:paraId="09B9328F" w14:textId="0CA2D70B" w:rsidR="00384F30" w:rsidRDefault="00384F30" w:rsidP="00A6200B">
      <w:pPr>
        <w:pStyle w:val="Heading1"/>
        <w:numPr>
          <w:ilvl w:val="0"/>
          <w:numId w:val="9"/>
        </w:numPr>
        <w:tabs>
          <w:tab w:val="left" w:pos="7830"/>
        </w:tabs>
        <w:spacing w:before="0" w:line="276" w:lineRule="auto"/>
        <w:ind w:left="1979" w:right="14"/>
        <w:rPr>
          <w:b w:val="0"/>
          <w:bCs w:val="0"/>
        </w:rPr>
      </w:pPr>
      <w:r>
        <w:rPr>
          <w:b w:val="0"/>
          <w:bCs w:val="0"/>
        </w:rPr>
        <w:t>Grant submitted</w:t>
      </w:r>
      <w:r w:rsidR="000B6CD6" w:rsidRPr="000B6CD6">
        <w:rPr>
          <w:b w:val="0"/>
          <w:bCs w:val="0"/>
          <w:vertAlign w:val="superscript"/>
        </w:rPr>
        <w:t>3,4</w:t>
      </w:r>
      <w:r w:rsidR="00FA705C">
        <w:rPr>
          <w:b w:val="0"/>
          <w:bCs w:val="0"/>
          <w:vertAlign w:val="superscript"/>
        </w:rPr>
        <w:t>,8</w:t>
      </w:r>
      <w:r w:rsidR="00950A61">
        <w:rPr>
          <w:b w:val="0"/>
          <w:bCs w:val="0"/>
        </w:rPr>
        <w:tab/>
      </w:r>
      <w:r w:rsidR="00F94012">
        <w:rPr>
          <w:b w:val="0"/>
          <w:bCs w:val="0"/>
        </w:rPr>
        <w:t>1 each</w:t>
      </w:r>
    </w:p>
    <w:p w14:paraId="2A47A9D3" w14:textId="46F9A926" w:rsidR="00384F30" w:rsidRDefault="00384F30" w:rsidP="00A6200B">
      <w:pPr>
        <w:pStyle w:val="Heading1"/>
        <w:numPr>
          <w:ilvl w:val="0"/>
          <w:numId w:val="9"/>
        </w:numPr>
        <w:tabs>
          <w:tab w:val="left" w:pos="7830"/>
        </w:tabs>
        <w:spacing w:before="0" w:line="276" w:lineRule="auto"/>
        <w:ind w:left="1979" w:right="14"/>
        <w:rPr>
          <w:b w:val="0"/>
          <w:bCs w:val="0"/>
        </w:rPr>
      </w:pPr>
      <w:r>
        <w:rPr>
          <w:b w:val="0"/>
          <w:bCs w:val="0"/>
        </w:rPr>
        <w:t>Book chapter published</w:t>
      </w:r>
      <w:r w:rsidR="000B6CD6" w:rsidRPr="000B6CD6">
        <w:rPr>
          <w:b w:val="0"/>
          <w:bCs w:val="0"/>
          <w:vertAlign w:val="superscript"/>
        </w:rPr>
        <w:t>5</w:t>
      </w:r>
      <w:r w:rsidR="00950A61">
        <w:rPr>
          <w:b w:val="0"/>
          <w:bCs w:val="0"/>
        </w:rPr>
        <w:tab/>
      </w:r>
      <w:r w:rsidR="00F94012">
        <w:rPr>
          <w:b w:val="0"/>
          <w:bCs w:val="0"/>
        </w:rPr>
        <w:t>1 each</w:t>
      </w:r>
    </w:p>
    <w:p w14:paraId="19EF9C8A" w14:textId="1DC654F2" w:rsidR="00384F30" w:rsidRDefault="00384F30" w:rsidP="00A6200B">
      <w:pPr>
        <w:pStyle w:val="Heading1"/>
        <w:numPr>
          <w:ilvl w:val="0"/>
          <w:numId w:val="9"/>
        </w:numPr>
        <w:tabs>
          <w:tab w:val="left" w:pos="7830"/>
        </w:tabs>
        <w:spacing w:before="0" w:after="120" w:line="276" w:lineRule="auto"/>
        <w:ind w:left="1979" w:right="20"/>
        <w:rPr>
          <w:b w:val="0"/>
          <w:bCs w:val="0"/>
        </w:rPr>
      </w:pPr>
      <w:r>
        <w:rPr>
          <w:b w:val="0"/>
          <w:bCs w:val="0"/>
        </w:rPr>
        <w:t>Presentation</w:t>
      </w:r>
      <w:r w:rsidR="000B6CD6" w:rsidRPr="000B6CD6">
        <w:rPr>
          <w:b w:val="0"/>
          <w:bCs w:val="0"/>
          <w:vertAlign w:val="superscript"/>
        </w:rPr>
        <w:t>6,7</w:t>
      </w:r>
      <w:r w:rsidR="000814AB">
        <w:rPr>
          <w:b w:val="0"/>
          <w:bCs w:val="0"/>
          <w:vertAlign w:val="superscript"/>
        </w:rPr>
        <w:t>,8</w:t>
      </w:r>
      <w:r w:rsidR="00950A61">
        <w:rPr>
          <w:b w:val="0"/>
          <w:bCs w:val="0"/>
        </w:rPr>
        <w:tab/>
      </w:r>
      <w:r w:rsidR="001B6F99">
        <w:rPr>
          <w:b w:val="0"/>
          <w:bCs w:val="0"/>
        </w:rPr>
        <w:t>0</w:t>
      </w:r>
      <w:r w:rsidR="001C0A0B">
        <w:rPr>
          <w:b w:val="0"/>
          <w:bCs w:val="0"/>
        </w:rPr>
        <w:t>.5</w:t>
      </w:r>
      <w:r w:rsidR="00F94012">
        <w:rPr>
          <w:b w:val="0"/>
          <w:bCs w:val="0"/>
        </w:rPr>
        <w:t xml:space="preserve"> each</w:t>
      </w:r>
    </w:p>
    <w:p w14:paraId="1865A683" w14:textId="66E5D672" w:rsidR="00AB0646" w:rsidRDefault="00AB0646" w:rsidP="00A6200B">
      <w:pPr>
        <w:pStyle w:val="Heading1"/>
        <w:tabs>
          <w:tab w:val="left" w:pos="7830"/>
        </w:tabs>
        <w:spacing w:before="0" w:after="120" w:line="276" w:lineRule="auto"/>
        <w:ind w:left="1979" w:right="20"/>
        <w:rPr>
          <w:b w:val="0"/>
          <w:bCs w:val="0"/>
        </w:rPr>
      </w:pPr>
      <w:r>
        <w:rPr>
          <w:b w:val="0"/>
          <w:bCs w:val="0"/>
        </w:rPr>
        <w:t>N.B.: 100% of required research activities for tenure and promotion should be in refereed activities (blind review of the activity with at least two reviewers and known acceptance rate).</w:t>
      </w:r>
      <w:r w:rsidR="00AE4626">
        <w:rPr>
          <w:b w:val="0"/>
          <w:bCs w:val="0"/>
        </w:rPr>
        <w:t xml:space="preserve"> First author receives higher value.</w:t>
      </w:r>
    </w:p>
    <w:p w14:paraId="1A60D246" w14:textId="7ADD712B" w:rsidR="00AE4626" w:rsidRDefault="00B12E7A" w:rsidP="00A6200B">
      <w:pPr>
        <w:pStyle w:val="Heading1"/>
        <w:tabs>
          <w:tab w:val="left" w:pos="7830"/>
        </w:tabs>
        <w:spacing w:before="0" w:after="120" w:line="276" w:lineRule="auto"/>
        <w:ind w:left="1979" w:right="20"/>
        <w:rPr>
          <w:b w:val="0"/>
          <w:bCs w:val="0"/>
        </w:rPr>
      </w:pPr>
      <w:r w:rsidRPr="007C2BA3">
        <w:rPr>
          <w:b w:val="0"/>
          <w:bCs w:val="0"/>
          <w:vertAlign w:val="superscript"/>
        </w:rPr>
        <w:lastRenderedPageBreak/>
        <w:t>1</w:t>
      </w:r>
      <w:r>
        <w:rPr>
          <w:b w:val="0"/>
          <w:bCs w:val="0"/>
        </w:rPr>
        <w:t xml:space="preserve">Activity in scope </w:t>
      </w:r>
      <w:r w:rsidR="00B322D3">
        <w:rPr>
          <w:b w:val="0"/>
          <w:bCs w:val="0"/>
        </w:rPr>
        <w:t>must be relevant to specialty/research area, what is taught, or the 24 competencies in SOHA programs.</w:t>
      </w:r>
    </w:p>
    <w:p w14:paraId="1C4B772F" w14:textId="2A6AE381" w:rsidR="00FE4C1F" w:rsidRDefault="00FE4C1F" w:rsidP="00A6200B">
      <w:pPr>
        <w:pStyle w:val="Heading1"/>
        <w:tabs>
          <w:tab w:val="left" w:pos="7830"/>
        </w:tabs>
        <w:spacing w:before="0" w:after="120" w:line="276" w:lineRule="auto"/>
        <w:ind w:left="1979" w:right="20"/>
        <w:rPr>
          <w:b w:val="0"/>
          <w:bCs w:val="0"/>
        </w:rPr>
      </w:pPr>
      <w:r w:rsidRPr="007C2BA3">
        <w:rPr>
          <w:b w:val="0"/>
          <w:bCs w:val="0"/>
          <w:vertAlign w:val="superscript"/>
        </w:rPr>
        <w:t>2</w:t>
      </w:r>
      <w:r>
        <w:rPr>
          <w:b w:val="0"/>
          <w:bCs w:val="0"/>
        </w:rPr>
        <w:t>Refereed articles must be in journals considered scholarly, which means it must publish quality indicators such as impact factor</w:t>
      </w:r>
      <w:r w:rsidR="00B87EA0">
        <w:rPr>
          <w:b w:val="0"/>
          <w:bCs w:val="0"/>
        </w:rPr>
        <w:t xml:space="preserve"> in </w:t>
      </w:r>
      <w:hyperlink r:id="rId14" w:history="1">
        <w:r w:rsidR="00B87EA0" w:rsidRPr="00DC1686">
          <w:rPr>
            <w:rStyle w:val="Hyperlink"/>
            <w:b w:val="0"/>
            <w:bCs w:val="0"/>
          </w:rPr>
          <w:t>Journal Citation Reports</w:t>
        </w:r>
      </w:hyperlink>
      <w:r w:rsidR="00B87EA0">
        <w:rPr>
          <w:b w:val="0"/>
          <w:bCs w:val="0"/>
        </w:rPr>
        <w:t xml:space="preserve"> (JCR), acceptance rate, </w:t>
      </w:r>
      <w:hyperlink r:id="rId15" w:history="1">
        <w:r w:rsidR="00B87EA0" w:rsidRPr="007C2BA3">
          <w:rPr>
            <w:rStyle w:val="Hyperlink"/>
            <w:b w:val="0"/>
            <w:bCs w:val="0"/>
          </w:rPr>
          <w:t xml:space="preserve">Scopus </w:t>
        </w:r>
      </w:hyperlink>
      <w:r w:rsidR="00B87EA0">
        <w:rPr>
          <w:b w:val="0"/>
          <w:bCs w:val="0"/>
        </w:rPr>
        <w:t xml:space="preserve">tier, </w:t>
      </w:r>
      <w:hyperlink r:id="rId16" w:history="1">
        <w:r w:rsidR="00B87EA0" w:rsidRPr="00147B43">
          <w:rPr>
            <w:rStyle w:val="Hyperlink"/>
            <w:b w:val="0"/>
            <w:bCs w:val="0"/>
          </w:rPr>
          <w:t>SCIMAGO</w:t>
        </w:r>
      </w:hyperlink>
      <w:r w:rsidR="00B87EA0">
        <w:rPr>
          <w:b w:val="0"/>
          <w:bCs w:val="0"/>
        </w:rPr>
        <w:t xml:space="preserve">, etc. Journals must not be listed on the predator journal list in </w:t>
      </w:r>
      <w:hyperlink r:id="rId17" w:history="1">
        <w:r w:rsidR="00B87EA0" w:rsidRPr="00147B43">
          <w:rPr>
            <w:rStyle w:val="Hyperlink"/>
            <w:b w:val="0"/>
            <w:bCs w:val="0"/>
          </w:rPr>
          <w:t>CABELLS</w:t>
        </w:r>
      </w:hyperlink>
      <w:r w:rsidR="00B87EA0">
        <w:rPr>
          <w:b w:val="0"/>
          <w:bCs w:val="0"/>
        </w:rPr>
        <w:t xml:space="preserve">. </w:t>
      </w:r>
    </w:p>
    <w:p w14:paraId="61A6882E" w14:textId="39DCBB03" w:rsidR="007C2BA3" w:rsidRDefault="007C2BA3" w:rsidP="00A6200B">
      <w:pPr>
        <w:pStyle w:val="Heading1"/>
        <w:tabs>
          <w:tab w:val="left" w:pos="7830"/>
        </w:tabs>
        <w:spacing w:before="0" w:after="120" w:line="276" w:lineRule="auto"/>
        <w:ind w:left="1979" w:right="20"/>
        <w:rPr>
          <w:b w:val="0"/>
          <w:bCs w:val="0"/>
        </w:rPr>
      </w:pPr>
      <w:r w:rsidRPr="003C2594">
        <w:rPr>
          <w:b w:val="0"/>
          <w:bCs w:val="0"/>
          <w:vertAlign w:val="superscript"/>
        </w:rPr>
        <w:t>3</w:t>
      </w:r>
      <w:r>
        <w:rPr>
          <w:b w:val="0"/>
          <w:bCs w:val="0"/>
        </w:rPr>
        <w:t>Grant awards might be considered refereed if the grant went through a blind review process with at least two reviewers. For all submissions of grants, faculty must submit evidence that the grant went through a blind peer review with at least two reviewers.</w:t>
      </w:r>
    </w:p>
    <w:p w14:paraId="63FF3987" w14:textId="20C02D46" w:rsidR="00016B4A" w:rsidRDefault="00016B4A" w:rsidP="00A6200B">
      <w:pPr>
        <w:pStyle w:val="Heading1"/>
        <w:tabs>
          <w:tab w:val="left" w:pos="7830"/>
        </w:tabs>
        <w:spacing w:before="0" w:after="120" w:line="276" w:lineRule="auto"/>
        <w:ind w:left="1979" w:right="20"/>
        <w:rPr>
          <w:b w:val="0"/>
          <w:bCs w:val="0"/>
        </w:rPr>
      </w:pPr>
      <w:r w:rsidRPr="00016B4A">
        <w:rPr>
          <w:b w:val="0"/>
          <w:bCs w:val="0"/>
          <w:vertAlign w:val="superscript"/>
        </w:rPr>
        <w:t>4</w:t>
      </w:r>
      <w:r>
        <w:rPr>
          <w:b w:val="0"/>
          <w:bCs w:val="0"/>
        </w:rPr>
        <w:t>Includes regional or multi-state activity</w:t>
      </w:r>
    </w:p>
    <w:p w14:paraId="07959A52" w14:textId="5A6CF0EA" w:rsidR="00016B4A" w:rsidRDefault="00016B4A" w:rsidP="00A6200B">
      <w:pPr>
        <w:pStyle w:val="Heading1"/>
        <w:tabs>
          <w:tab w:val="left" w:pos="7830"/>
        </w:tabs>
        <w:spacing w:before="0" w:after="120" w:line="276" w:lineRule="auto"/>
        <w:ind w:left="1979" w:right="20"/>
        <w:rPr>
          <w:b w:val="0"/>
          <w:bCs w:val="0"/>
        </w:rPr>
      </w:pPr>
      <w:r w:rsidRPr="00016B4A">
        <w:rPr>
          <w:b w:val="0"/>
          <w:bCs w:val="0"/>
          <w:vertAlign w:val="superscript"/>
        </w:rPr>
        <w:t>5</w:t>
      </w:r>
      <w:r>
        <w:rPr>
          <w:b w:val="0"/>
          <w:bCs w:val="0"/>
        </w:rPr>
        <w:t xml:space="preserve">Scholarly books or chapter might be considered refereed if the book went through a blind review process with at least two reviewers. For all submissions of scholarly books or chapters, faculty </w:t>
      </w:r>
      <w:r w:rsidR="00D60474">
        <w:rPr>
          <w:b w:val="0"/>
          <w:bCs w:val="0"/>
        </w:rPr>
        <w:t>must submit evidence that the material was subjected to a blind review with at least two reviewers</w:t>
      </w:r>
      <w:r w:rsidR="002050ED">
        <w:rPr>
          <w:b w:val="0"/>
          <w:bCs w:val="0"/>
        </w:rPr>
        <w:t>.</w:t>
      </w:r>
    </w:p>
    <w:p w14:paraId="206329C3" w14:textId="15B2AD1B" w:rsidR="002050ED" w:rsidRDefault="002050ED" w:rsidP="00A6200B">
      <w:pPr>
        <w:pStyle w:val="Heading1"/>
        <w:tabs>
          <w:tab w:val="left" w:pos="7830"/>
        </w:tabs>
        <w:spacing w:before="0" w:after="120" w:line="276" w:lineRule="auto"/>
        <w:ind w:left="1979" w:right="20"/>
        <w:rPr>
          <w:b w:val="0"/>
          <w:bCs w:val="0"/>
        </w:rPr>
      </w:pPr>
      <w:r w:rsidRPr="00C02C60">
        <w:rPr>
          <w:b w:val="0"/>
          <w:bCs w:val="0"/>
          <w:vertAlign w:val="superscript"/>
        </w:rPr>
        <w:t>7</w:t>
      </w:r>
      <w:r>
        <w:rPr>
          <w:b w:val="0"/>
          <w:bCs w:val="0"/>
        </w:rPr>
        <w:t>Invited lectures or groups other than student groups, which is defined as teaching.</w:t>
      </w:r>
    </w:p>
    <w:p w14:paraId="02A795E5" w14:textId="2B5C2CD1" w:rsidR="002050ED" w:rsidRDefault="002050ED" w:rsidP="00A6200B">
      <w:pPr>
        <w:pStyle w:val="Heading1"/>
        <w:tabs>
          <w:tab w:val="left" w:pos="7830"/>
        </w:tabs>
        <w:spacing w:before="0" w:after="120" w:line="276" w:lineRule="auto"/>
        <w:ind w:left="1979" w:right="20"/>
        <w:rPr>
          <w:b w:val="0"/>
          <w:bCs w:val="0"/>
        </w:rPr>
      </w:pPr>
      <w:r w:rsidRPr="00C02C60">
        <w:rPr>
          <w:b w:val="0"/>
          <w:bCs w:val="0"/>
          <w:vertAlign w:val="superscript"/>
        </w:rPr>
        <w:t>8</w:t>
      </w:r>
      <w:r>
        <w:rPr>
          <w:b w:val="0"/>
          <w:bCs w:val="0"/>
        </w:rPr>
        <w:t xml:space="preserve">Collective responsibility for the research activities of SOHA (e.g., assistance with grant applications, assisting students with publications/presentations, etc.) as determined by SOHA faculty. </w:t>
      </w:r>
    </w:p>
    <w:p w14:paraId="10223544" w14:textId="0510FFBF" w:rsidR="0027705C" w:rsidRDefault="0012330E" w:rsidP="00EB7791">
      <w:pPr>
        <w:pStyle w:val="Heading1"/>
        <w:tabs>
          <w:tab w:val="left" w:pos="1620"/>
        </w:tabs>
        <w:spacing w:before="0" w:after="120" w:line="276" w:lineRule="auto"/>
        <w:ind w:left="1620" w:right="20" w:hanging="450"/>
        <w:rPr>
          <w:b w:val="0"/>
          <w:bCs w:val="0"/>
        </w:rPr>
      </w:pPr>
      <w:r>
        <w:rPr>
          <w:b w:val="0"/>
          <w:bCs w:val="0"/>
        </w:rPr>
        <w:t>d.</w:t>
      </w:r>
      <w:r>
        <w:rPr>
          <w:b w:val="0"/>
          <w:bCs w:val="0"/>
        </w:rPr>
        <w:tab/>
      </w:r>
      <w:r w:rsidR="0027705C">
        <w:rPr>
          <w:b w:val="0"/>
          <w:bCs w:val="0"/>
        </w:rPr>
        <w:t>Collegiality</w:t>
      </w:r>
      <w:r w:rsidR="004448E3">
        <w:rPr>
          <w:b w:val="0"/>
          <w:bCs w:val="0"/>
        </w:rPr>
        <w:t xml:space="preserve">: </w:t>
      </w:r>
      <w:r w:rsidR="004448E3" w:rsidRPr="004448E3">
        <w:rPr>
          <w:b w:val="0"/>
          <w:bCs w:val="0"/>
        </w:rPr>
        <w:t xml:space="preserve">Collective responsibility for the teaching activities of </w:t>
      </w:r>
      <w:r w:rsidR="00073341">
        <w:rPr>
          <w:b w:val="0"/>
          <w:bCs w:val="0"/>
        </w:rPr>
        <w:t>SOHA</w:t>
      </w:r>
      <w:r w:rsidR="004448E3" w:rsidRPr="004448E3">
        <w:rPr>
          <w:b w:val="0"/>
          <w:bCs w:val="0"/>
        </w:rPr>
        <w:t xml:space="preserve"> (e.g., giving guest lectures, assisting in curriculum review, and student advising) as determined by the School faculty. Teaching collegiality is a function of both the quantity </w:t>
      </w:r>
      <w:r w:rsidR="0021499F">
        <w:rPr>
          <w:b w:val="0"/>
          <w:bCs w:val="0"/>
        </w:rPr>
        <w:t xml:space="preserve">and quality </w:t>
      </w:r>
      <w:r w:rsidR="004448E3" w:rsidRPr="004448E3">
        <w:rPr>
          <w:b w:val="0"/>
          <w:bCs w:val="0"/>
        </w:rPr>
        <w:t xml:space="preserve">of time spent engaged in </w:t>
      </w:r>
      <w:r w:rsidR="0021499F">
        <w:rPr>
          <w:b w:val="0"/>
          <w:bCs w:val="0"/>
        </w:rPr>
        <w:t>SOHA</w:t>
      </w:r>
      <w:r w:rsidR="004448E3" w:rsidRPr="004448E3">
        <w:rPr>
          <w:b w:val="0"/>
          <w:bCs w:val="0"/>
        </w:rPr>
        <w:t xml:space="preserve"> teaching activities.</w:t>
      </w:r>
      <w:r w:rsidR="00535896">
        <w:rPr>
          <w:b w:val="0"/>
          <w:bCs w:val="0"/>
        </w:rPr>
        <w:t xml:space="preserve"> </w:t>
      </w:r>
      <w:r w:rsidR="00FB3206">
        <w:rPr>
          <w:b w:val="0"/>
          <w:bCs w:val="0"/>
        </w:rPr>
        <w:t>Service collegiality is a function of both the quantity and quality of time spent engaged in SOHA service activities.</w:t>
      </w:r>
      <w:r w:rsidR="00A6200B">
        <w:rPr>
          <w:b w:val="0"/>
          <w:bCs w:val="0"/>
        </w:rPr>
        <w:t xml:space="preserve"> </w:t>
      </w:r>
      <w:r w:rsidR="001D2C01">
        <w:rPr>
          <w:b w:val="0"/>
          <w:bCs w:val="0"/>
        </w:rPr>
        <w:t>Research collegiality is a function of both the quantity and quality of time spent engaged in SOHA research activities.</w:t>
      </w:r>
      <w:r w:rsidR="0021499F" w:rsidRPr="0021499F">
        <w:rPr>
          <w:b w:val="0"/>
          <w:bCs w:val="0"/>
        </w:rPr>
        <w:t xml:space="preserve"> </w:t>
      </w:r>
      <w:r w:rsidR="0021499F">
        <w:rPr>
          <w:b w:val="0"/>
          <w:bCs w:val="0"/>
        </w:rPr>
        <w:t xml:space="preserve">See the SOHA T&amp;P policy for additional information on </w:t>
      </w:r>
      <w:r w:rsidR="003F46B6">
        <w:rPr>
          <w:b w:val="0"/>
          <w:bCs w:val="0"/>
        </w:rPr>
        <w:t>collegiality</w:t>
      </w:r>
      <w:r w:rsidR="0021499F">
        <w:rPr>
          <w:b w:val="0"/>
          <w:bCs w:val="0"/>
        </w:rPr>
        <w:t>.</w:t>
      </w:r>
    </w:p>
    <w:p w14:paraId="2A720D17" w14:textId="615723B5" w:rsidR="008B7C8F" w:rsidRDefault="007A20B2" w:rsidP="007A20B2">
      <w:pPr>
        <w:pStyle w:val="Heading1"/>
        <w:spacing w:before="0" w:after="120" w:line="360" w:lineRule="auto"/>
        <w:ind w:left="0" w:right="20"/>
      </w:pPr>
      <w:r>
        <w:t>0</w:t>
      </w:r>
      <w:r w:rsidR="00EB7791">
        <w:t>4</w:t>
      </w:r>
      <w:r>
        <w:t>.</w:t>
      </w:r>
      <w:r>
        <w:tab/>
      </w:r>
      <w:r w:rsidR="008B7C8F">
        <w:t xml:space="preserve">DEPARTMENTAL </w:t>
      </w:r>
      <w:r w:rsidR="0038032C">
        <w:t>PROCEDURE</w:t>
      </w:r>
      <w:r w:rsidR="008B7C8F">
        <w:t xml:space="preserve"> (MERIT)</w:t>
      </w:r>
    </w:p>
    <w:p w14:paraId="1CF3A808" w14:textId="66F273E1" w:rsidR="0027705C" w:rsidRDefault="00EB7791" w:rsidP="00EB7791">
      <w:pPr>
        <w:pStyle w:val="Heading1"/>
        <w:tabs>
          <w:tab w:val="left" w:pos="1170"/>
        </w:tabs>
        <w:spacing w:before="0" w:after="120" w:line="276" w:lineRule="auto"/>
        <w:ind w:left="360" w:right="20"/>
        <w:rPr>
          <w:b w:val="0"/>
          <w:bCs w:val="0"/>
        </w:rPr>
      </w:pPr>
      <w:r>
        <w:rPr>
          <w:b w:val="0"/>
          <w:bCs w:val="0"/>
        </w:rPr>
        <w:t>04.01.</w:t>
      </w:r>
      <w:r>
        <w:rPr>
          <w:b w:val="0"/>
          <w:bCs w:val="0"/>
        </w:rPr>
        <w:tab/>
      </w:r>
      <w:r w:rsidR="00006F6A">
        <w:rPr>
          <w:b w:val="0"/>
          <w:bCs w:val="0"/>
        </w:rPr>
        <w:t>Performance Raises</w:t>
      </w:r>
    </w:p>
    <w:p w14:paraId="34B2FE2B" w14:textId="67BE2A26" w:rsidR="00D50CAE" w:rsidRPr="00D50CAE" w:rsidRDefault="00EB7791" w:rsidP="00EB7791">
      <w:pPr>
        <w:tabs>
          <w:tab w:val="left" w:pos="1539"/>
          <w:tab w:val="left" w:pos="1541"/>
        </w:tabs>
        <w:ind w:left="1440" w:right="196" w:hanging="621"/>
      </w:pPr>
      <w:r>
        <w:t>a.</w:t>
      </w:r>
      <w:r>
        <w:tab/>
      </w:r>
      <w:r w:rsidR="00D50CAE">
        <w:t>Performance raises are defined as a prescribed number of salary steps</w:t>
      </w:r>
      <w:r w:rsidR="00D50CAE" w:rsidRPr="00EB7791">
        <w:rPr>
          <w:spacing w:val="-37"/>
        </w:rPr>
        <w:t xml:space="preserve"> </w:t>
      </w:r>
      <w:r w:rsidR="00D50CAE">
        <w:t xml:space="preserve">awarded to faculty whose performance during the preceding year meets departmental expectations in </w:t>
      </w:r>
      <w:r w:rsidR="00A16715">
        <w:t>all applicable areas of evaluation</w:t>
      </w:r>
      <w:r w:rsidR="00D50CAE">
        <w:t>: teaching, service, or research. Performance raises, to the extent possible, track cost-of-living</w:t>
      </w:r>
      <w:r w:rsidR="00D50CAE" w:rsidRPr="00EB7791">
        <w:rPr>
          <w:spacing w:val="-13"/>
        </w:rPr>
        <w:t xml:space="preserve"> </w:t>
      </w:r>
      <w:r w:rsidR="00D50CAE">
        <w:t>increases.</w:t>
      </w:r>
    </w:p>
    <w:p w14:paraId="0F7B889B" w14:textId="041FFB0A" w:rsidR="00BF7ACB" w:rsidRDefault="00EB7791" w:rsidP="00EB7791">
      <w:pPr>
        <w:tabs>
          <w:tab w:val="left" w:pos="1539"/>
          <w:tab w:val="left" w:pos="1540"/>
        </w:tabs>
        <w:ind w:left="1440" w:right="114" w:hanging="621"/>
      </w:pPr>
      <w:r>
        <w:t>b.</w:t>
      </w:r>
      <w:r w:rsidR="00E824CF">
        <w:tab/>
      </w:r>
      <w:r w:rsidR="00825E6F">
        <w:t xml:space="preserve">In evaluating annual performance, the Personnel Committee, the School Director, and the College Dean will consider the faculty member's contributions in the context of School, College, and University needs and the faculty member's own past performance and career path. This evaluation will be conducted in accordance with the </w:t>
      </w:r>
      <w:proofErr w:type="gramStart"/>
      <w:r w:rsidR="00825E6F">
        <w:t>School's</w:t>
      </w:r>
      <w:proofErr w:type="gramEnd"/>
      <w:r w:rsidR="00825E6F">
        <w:t xml:space="preserve"> approved policy for the performance evaluation of faculty.</w:t>
      </w:r>
    </w:p>
    <w:p w14:paraId="4FCC1394" w14:textId="7D5494AA" w:rsidR="000C6CE9" w:rsidRDefault="00EB7791" w:rsidP="00EB7791">
      <w:pPr>
        <w:tabs>
          <w:tab w:val="left" w:pos="1539"/>
          <w:tab w:val="left" w:pos="1540"/>
        </w:tabs>
        <w:ind w:left="1440" w:right="114" w:hanging="621"/>
      </w:pPr>
      <w:r>
        <w:t>c.</w:t>
      </w:r>
      <w:r w:rsidR="00E824CF">
        <w:tab/>
      </w:r>
      <w:r w:rsidR="000C6CE9">
        <w:t>Faculty who consistently meet or exceed SOHA performance expectations</w:t>
      </w:r>
      <w:r w:rsidR="0093219F">
        <w:t xml:space="preserve"> </w:t>
      </w:r>
      <w:r w:rsidR="00E824CF">
        <w:t xml:space="preserve">as </w:t>
      </w:r>
      <w:r w:rsidR="0093219F">
        <w:t>determined by the performance evaluation will be eligible for reappointment and performance raises.</w:t>
      </w:r>
    </w:p>
    <w:p w14:paraId="0F7B889D" w14:textId="2653DF15" w:rsidR="00BF7ACB" w:rsidRDefault="00EB7791" w:rsidP="00E824CF">
      <w:pPr>
        <w:tabs>
          <w:tab w:val="left" w:pos="1539"/>
          <w:tab w:val="left" w:pos="1540"/>
        </w:tabs>
        <w:spacing w:after="120"/>
        <w:ind w:left="1440" w:right="245" w:hanging="621"/>
      </w:pPr>
      <w:r>
        <w:t>d.</w:t>
      </w:r>
      <w:r>
        <w:tab/>
      </w:r>
      <w:r w:rsidR="00825E6F">
        <w:t>Any faculty member denied a performance raise will be counseled personally</w:t>
      </w:r>
      <w:r w:rsidR="00825E6F" w:rsidRPr="00EB7791">
        <w:rPr>
          <w:spacing w:val="-37"/>
        </w:rPr>
        <w:t xml:space="preserve"> </w:t>
      </w:r>
      <w:r w:rsidR="00825E6F">
        <w:t>by the School Director who will provide specific written suggestions for improvement.</w:t>
      </w:r>
    </w:p>
    <w:p w14:paraId="0F7B889F" w14:textId="4F72309C" w:rsidR="00BF7ACB" w:rsidRPr="00006F6A" w:rsidRDefault="009578ED" w:rsidP="00E824CF">
      <w:pPr>
        <w:pStyle w:val="Heading1"/>
        <w:tabs>
          <w:tab w:val="left" w:pos="1170"/>
        </w:tabs>
        <w:spacing w:before="0" w:after="120" w:line="276" w:lineRule="auto"/>
        <w:ind w:left="360" w:right="20"/>
        <w:rPr>
          <w:b w:val="0"/>
          <w:bCs w:val="0"/>
        </w:rPr>
      </w:pPr>
      <w:r>
        <w:rPr>
          <w:b w:val="0"/>
          <w:bCs w:val="0"/>
        </w:rPr>
        <w:lastRenderedPageBreak/>
        <w:t>04.02.</w:t>
      </w:r>
      <w:r>
        <w:rPr>
          <w:b w:val="0"/>
          <w:bCs w:val="0"/>
        </w:rPr>
        <w:tab/>
      </w:r>
      <w:r w:rsidR="00825E6F" w:rsidRPr="00006F6A">
        <w:rPr>
          <w:b w:val="0"/>
          <w:bCs w:val="0"/>
        </w:rPr>
        <w:t>Merit Raises</w:t>
      </w:r>
    </w:p>
    <w:p w14:paraId="0F7B88A1" w14:textId="04EC0900" w:rsidR="00BF7ACB" w:rsidRDefault="009578ED" w:rsidP="009578ED">
      <w:pPr>
        <w:ind w:left="1440" w:right="196" w:hanging="630"/>
      </w:pPr>
      <w:r>
        <w:t>a.</w:t>
      </w:r>
      <w:r>
        <w:tab/>
      </w:r>
      <w:r w:rsidR="00825E6F">
        <w:t>Merit raises are defined as additional salary steps to be awarded to faculty whose performance during the preceding annual evaluations since the last</w:t>
      </w:r>
      <w:r w:rsidR="00825E6F" w:rsidRPr="00B352F2">
        <w:t xml:space="preserve"> </w:t>
      </w:r>
      <w:r w:rsidR="00825E6F">
        <w:t>merit raise was distributed (i.e., this may include two or more annual evaluations and this time will be called the evaluation</w:t>
      </w:r>
      <w:r w:rsidR="00825E6F" w:rsidRPr="00B352F2">
        <w:t xml:space="preserve"> </w:t>
      </w:r>
      <w:r w:rsidR="00825E6F">
        <w:t>period).</w:t>
      </w:r>
    </w:p>
    <w:p w14:paraId="0F7B88A5" w14:textId="0B0FEB63" w:rsidR="00BF7ACB" w:rsidRDefault="009578ED" w:rsidP="009578ED">
      <w:pPr>
        <w:ind w:left="1440" w:right="196" w:hanging="630"/>
      </w:pPr>
      <w:r>
        <w:t>b.</w:t>
      </w:r>
      <w:r>
        <w:tab/>
      </w:r>
      <w:r w:rsidR="00825E6F">
        <w:t>In evaluating annual performance, the Personnel Committee, the School Director, and the College Dean will consider the faculty member's contributions in the context of School, College, and University needs and the faculty member's own past performance and career path. This evaluation will be conducted</w:t>
      </w:r>
      <w:r w:rsidR="00825E6F" w:rsidRPr="00B352F2">
        <w:t xml:space="preserve"> </w:t>
      </w:r>
      <w:r w:rsidR="00825E6F">
        <w:t>in</w:t>
      </w:r>
      <w:r w:rsidR="005B4F51">
        <w:t xml:space="preserve"> </w:t>
      </w:r>
      <w:r w:rsidR="00825E6F">
        <w:t xml:space="preserve">accordance with the </w:t>
      </w:r>
      <w:proofErr w:type="gramStart"/>
      <w:r w:rsidR="00825E6F">
        <w:t>School's</w:t>
      </w:r>
      <w:proofErr w:type="gramEnd"/>
      <w:r w:rsidR="00825E6F">
        <w:t xml:space="preserve"> approved policy for the performance evaluation of faculty.</w:t>
      </w:r>
    </w:p>
    <w:p w14:paraId="0F7B88A7" w14:textId="3CC52B37" w:rsidR="00BF7ACB" w:rsidRDefault="009578ED" w:rsidP="009578ED">
      <w:pPr>
        <w:ind w:left="1440" w:right="196" w:hanging="630"/>
      </w:pPr>
      <w:r>
        <w:t>c.</w:t>
      </w:r>
      <w:r>
        <w:tab/>
      </w:r>
      <w:r w:rsidR="00825E6F">
        <w:t xml:space="preserve">All faculty receiving a performance raise will be eligible for a merit raise. Once a merit pool is established, the </w:t>
      </w:r>
      <w:proofErr w:type="gramStart"/>
      <w:r w:rsidR="00825E6F">
        <w:t>School</w:t>
      </w:r>
      <w:proofErr w:type="gramEnd"/>
      <w:r w:rsidR="00825E6F">
        <w:t xml:space="preserve"> Director will determine the shares to be divided into the merit pool in the following</w:t>
      </w:r>
      <w:r w:rsidR="00825E6F" w:rsidRPr="00B352F2">
        <w:t xml:space="preserve"> </w:t>
      </w:r>
      <w:r w:rsidR="00825E6F">
        <w:t>manner:</w:t>
      </w:r>
    </w:p>
    <w:p w14:paraId="0A36798F" w14:textId="02F9B3E7" w:rsidR="0036799C" w:rsidRDefault="002C1288" w:rsidP="009578ED">
      <w:pPr>
        <w:ind w:left="810" w:right="196"/>
      </w:pPr>
      <w:r>
        <w:tab/>
        <w:t>1.</w:t>
      </w:r>
      <w:r>
        <w:tab/>
      </w:r>
      <w:r w:rsidR="0036799C">
        <w:t>Each exemplary during the evaluation period equals t</w:t>
      </w:r>
      <w:r w:rsidR="00721CA7">
        <w:t>hree</w:t>
      </w:r>
      <w:r w:rsidR="0036799C">
        <w:t xml:space="preserve"> shares.</w:t>
      </w:r>
    </w:p>
    <w:p w14:paraId="0F7B88A9" w14:textId="1C9BDC61" w:rsidR="00BF7ACB" w:rsidRDefault="0024739D" w:rsidP="0024739D">
      <w:pPr>
        <w:ind w:left="2160" w:right="196" w:hanging="720"/>
      </w:pPr>
      <w:r>
        <w:t>2.</w:t>
      </w:r>
      <w:r>
        <w:tab/>
      </w:r>
      <w:r w:rsidR="00825E6F">
        <w:t xml:space="preserve">Each exceeds expectations during the evaluation period equals </w:t>
      </w:r>
      <w:r w:rsidR="00721CA7">
        <w:t>two</w:t>
      </w:r>
      <w:r w:rsidR="00825E6F">
        <w:t xml:space="preserve"> share</w:t>
      </w:r>
      <w:r w:rsidR="00721CA7">
        <w:t>s</w:t>
      </w:r>
      <w:r w:rsidR="00825E6F">
        <w:t>.</w:t>
      </w:r>
    </w:p>
    <w:p w14:paraId="18B49C79" w14:textId="302BB1EB" w:rsidR="00721CA7" w:rsidRDefault="0024739D" w:rsidP="0024739D">
      <w:pPr>
        <w:ind w:left="810" w:right="196" w:firstLine="630"/>
      </w:pPr>
      <w:r>
        <w:t>3.</w:t>
      </w:r>
      <w:r>
        <w:tab/>
      </w:r>
      <w:r w:rsidR="00721CA7">
        <w:t>Each meets expectations during the evaluation period equals one share.</w:t>
      </w:r>
    </w:p>
    <w:p w14:paraId="0E5830FB" w14:textId="77777777" w:rsidR="00176178" w:rsidRDefault="009755DD" w:rsidP="00176178">
      <w:pPr>
        <w:ind w:left="2160" w:right="196"/>
      </w:pPr>
      <w:r>
        <w:t>For example, a faculty member who received an exemplary in teaching, a exceeds in service, and a meets in research, would be allocated six shares of merit</w:t>
      </w:r>
      <w:r w:rsidR="00C45C03">
        <w:t xml:space="preserve">. </w:t>
      </w:r>
    </w:p>
    <w:p w14:paraId="5F142B53" w14:textId="03F94EFF" w:rsidR="009755DD" w:rsidRDefault="00C45C03" w:rsidP="00176178">
      <w:pPr>
        <w:ind w:left="2160" w:right="196"/>
      </w:pPr>
      <w:r>
        <w:t>If the department is asked for merit levels (low, medium, high)</w:t>
      </w:r>
      <w:r w:rsidR="009755DD">
        <w:t xml:space="preserve">, </w:t>
      </w:r>
      <w:r>
        <w:t>this evaluation</w:t>
      </w:r>
      <w:r w:rsidR="009755DD">
        <w:t xml:space="preserve"> </w:t>
      </w:r>
      <w:r>
        <w:t>would be</w:t>
      </w:r>
      <w:r w:rsidR="009755DD">
        <w:t xml:space="preserve"> medium.</w:t>
      </w:r>
    </w:p>
    <w:p w14:paraId="5D4E44F4" w14:textId="6BF619E5" w:rsidR="007D6C17" w:rsidRDefault="00103857" w:rsidP="00CB74BF">
      <w:pPr>
        <w:pStyle w:val="ListParagraph"/>
        <w:ind w:left="1980" w:right="196" w:firstLine="0"/>
      </w:pPr>
      <w:r>
        <w:rPr>
          <w:noProof/>
        </w:rPr>
        <w:drawing>
          <wp:inline distT="0" distB="0" distL="0" distR="0" wp14:anchorId="203A712C" wp14:editId="65ACBF64">
            <wp:extent cx="2294880" cy="45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324" cy="471166"/>
                    </a:xfrm>
                    <a:prstGeom prst="rect">
                      <a:avLst/>
                    </a:prstGeom>
                    <a:noFill/>
                  </pic:spPr>
                </pic:pic>
              </a:graphicData>
            </a:graphic>
          </wp:inline>
        </w:drawing>
      </w:r>
    </w:p>
    <w:p w14:paraId="0F7B88AD" w14:textId="313B1341" w:rsidR="00BF7ACB" w:rsidRDefault="00C45C03" w:rsidP="00692B02">
      <w:pPr>
        <w:pStyle w:val="ListParagraph"/>
        <w:ind w:left="2160" w:right="196" w:firstLine="0"/>
      </w:pPr>
      <w:r>
        <w:t xml:space="preserve">If the department is given a </w:t>
      </w:r>
      <w:r w:rsidR="00CC4712">
        <w:t>total dollar amount, t</w:t>
      </w:r>
      <w:r w:rsidR="00825E6F">
        <w:t>he merit dollars per share is determined by dividing the total shares for the faculty by the merit pool available.</w:t>
      </w:r>
    </w:p>
    <w:p w14:paraId="0F7B88AF" w14:textId="7D6B3B7F" w:rsidR="00BF7ACB" w:rsidRDefault="00176178" w:rsidP="00176178">
      <w:pPr>
        <w:ind w:left="1440" w:right="196" w:hanging="630"/>
      </w:pPr>
      <w:r>
        <w:t>d.</w:t>
      </w:r>
      <w:r>
        <w:tab/>
      </w:r>
      <w:r w:rsidR="00825E6F">
        <w:t>The Director will review with the Personnel Committee the final merit awards prior to distribution individual faculty member</w:t>
      </w:r>
      <w:r w:rsidR="00825E6F" w:rsidRPr="00B352F2">
        <w:t xml:space="preserve"> </w:t>
      </w:r>
      <w:r w:rsidR="00825E6F">
        <w:t>awards.</w:t>
      </w:r>
    </w:p>
    <w:p w14:paraId="0F7B88CE" w14:textId="5C318941" w:rsidR="00BF7ACB" w:rsidRDefault="00176178" w:rsidP="00176178">
      <w:pPr>
        <w:ind w:left="1440" w:right="196" w:hanging="630"/>
      </w:pPr>
      <w:r>
        <w:t>e.</w:t>
      </w:r>
      <w:r>
        <w:tab/>
      </w:r>
      <w:r w:rsidR="00825E6F">
        <w:t xml:space="preserve">Faculty who are dissatisfied with the </w:t>
      </w:r>
      <w:proofErr w:type="gramStart"/>
      <w:r w:rsidR="00825E6F">
        <w:t>School's</w:t>
      </w:r>
      <w:proofErr w:type="gramEnd"/>
      <w:r w:rsidR="00825E6F">
        <w:t xml:space="preserve"> final merit recommendation may appeal to the College Dean</w:t>
      </w:r>
      <w:r w:rsidR="00E56E00">
        <w:t>. See the CHP PPS on merit for details.</w:t>
      </w:r>
      <w:r w:rsidR="00825E6F">
        <w:t xml:space="preserve"> </w:t>
      </w:r>
    </w:p>
    <w:p w14:paraId="383E052E" w14:textId="43BFBB27" w:rsidR="00D05690" w:rsidRDefault="00D05690" w:rsidP="00D05690">
      <w:pPr>
        <w:ind w:right="196"/>
      </w:pPr>
    </w:p>
    <w:p w14:paraId="3E2A04A0" w14:textId="77777777" w:rsidR="00D05690" w:rsidRPr="00821AED" w:rsidRDefault="00D05690" w:rsidP="00D05690">
      <w:pPr>
        <w:ind w:right="196"/>
      </w:pPr>
    </w:p>
    <w:sectPr w:rsidR="00D05690" w:rsidRPr="00821AED" w:rsidSect="005E6909">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3F4"/>
    <w:multiLevelType w:val="hybridMultilevel"/>
    <w:tmpl w:val="1BAE67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66E48CE"/>
    <w:multiLevelType w:val="multilevel"/>
    <w:tmpl w:val="131C7986"/>
    <w:lvl w:ilvl="0">
      <w:start w:val="7"/>
      <w:numFmt w:val="decimal"/>
      <w:lvlText w:val="%1"/>
      <w:lvlJc w:val="left"/>
      <w:pPr>
        <w:ind w:left="820" w:hanging="721"/>
      </w:pPr>
      <w:rPr>
        <w:rFonts w:hint="default"/>
        <w:lang w:val="en-US" w:eastAsia="en-US" w:bidi="ar-SA"/>
      </w:rPr>
    </w:lvl>
    <w:lvl w:ilvl="1">
      <w:start w:val="101"/>
      <w:numFmt w:val="decimal"/>
      <w:lvlText w:val="%1.%2"/>
      <w:lvlJc w:val="left"/>
      <w:pPr>
        <w:ind w:left="820" w:hanging="721"/>
      </w:pPr>
      <w:rPr>
        <w:rFonts w:ascii="Arial" w:eastAsia="Arial" w:hAnsi="Arial" w:cs="Arial" w:hint="default"/>
        <w:spacing w:val="-1"/>
        <w:w w:val="100"/>
        <w:sz w:val="22"/>
        <w:szCs w:val="22"/>
        <w:lang w:val="en-US" w:eastAsia="en-US" w:bidi="ar-SA"/>
      </w:rPr>
    </w:lvl>
    <w:lvl w:ilvl="2">
      <w:start w:val="1"/>
      <w:numFmt w:val="upperLetter"/>
      <w:lvlText w:val="%3."/>
      <w:lvlJc w:val="left"/>
      <w:pPr>
        <w:ind w:left="1540" w:hanging="721"/>
      </w:pPr>
      <w:rPr>
        <w:rFonts w:ascii="Arial" w:eastAsia="Arial" w:hAnsi="Arial" w:cs="Arial" w:hint="default"/>
        <w:spacing w:val="-1"/>
        <w:w w:val="100"/>
        <w:sz w:val="22"/>
        <w:szCs w:val="22"/>
        <w:lang w:val="en-US" w:eastAsia="en-US" w:bidi="ar-SA"/>
      </w:rPr>
    </w:lvl>
    <w:lvl w:ilvl="3">
      <w:numFmt w:val="bullet"/>
      <w:lvlText w:val="•"/>
      <w:lvlJc w:val="left"/>
      <w:pPr>
        <w:ind w:left="3322" w:hanging="721"/>
      </w:pPr>
      <w:rPr>
        <w:rFonts w:hint="default"/>
        <w:lang w:val="en-US" w:eastAsia="en-US" w:bidi="ar-SA"/>
      </w:rPr>
    </w:lvl>
    <w:lvl w:ilvl="4">
      <w:numFmt w:val="bullet"/>
      <w:lvlText w:val="•"/>
      <w:lvlJc w:val="left"/>
      <w:pPr>
        <w:ind w:left="4213" w:hanging="721"/>
      </w:pPr>
      <w:rPr>
        <w:rFonts w:hint="default"/>
        <w:lang w:val="en-US" w:eastAsia="en-US" w:bidi="ar-SA"/>
      </w:rPr>
    </w:lvl>
    <w:lvl w:ilvl="5">
      <w:numFmt w:val="bullet"/>
      <w:lvlText w:val="•"/>
      <w:lvlJc w:val="left"/>
      <w:pPr>
        <w:ind w:left="5104" w:hanging="721"/>
      </w:pPr>
      <w:rPr>
        <w:rFonts w:hint="default"/>
        <w:lang w:val="en-US" w:eastAsia="en-US" w:bidi="ar-SA"/>
      </w:rPr>
    </w:lvl>
    <w:lvl w:ilvl="6">
      <w:numFmt w:val="bullet"/>
      <w:lvlText w:val="•"/>
      <w:lvlJc w:val="left"/>
      <w:pPr>
        <w:ind w:left="5995" w:hanging="721"/>
      </w:pPr>
      <w:rPr>
        <w:rFonts w:hint="default"/>
        <w:lang w:val="en-US" w:eastAsia="en-US" w:bidi="ar-SA"/>
      </w:rPr>
    </w:lvl>
    <w:lvl w:ilvl="7">
      <w:numFmt w:val="bullet"/>
      <w:lvlText w:val="•"/>
      <w:lvlJc w:val="left"/>
      <w:pPr>
        <w:ind w:left="6886" w:hanging="721"/>
      </w:pPr>
      <w:rPr>
        <w:rFonts w:hint="default"/>
        <w:lang w:val="en-US" w:eastAsia="en-US" w:bidi="ar-SA"/>
      </w:rPr>
    </w:lvl>
    <w:lvl w:ilvl="8">
      <w:numFmt w:val="bullet"/>
      <w:lvlText w:val="•"/>
      <w:lvlJc w:val="left"/>
      <w:pPr>
        <w:ind w:left="7777" w:hanging="721"/>
      </w:pPr>
      <w:rPr>
        <w:rFonts w:hint="default"/>
        <w:lang w:val="en-US" w:eastAsia="en-US" w:bidi="ar-SA"/>
      </w:rPr>
    </w:lvl>
  </w:abstractNum>
  <w:abstractNum w:abstractNumId="2" w15:restartNumberingAfterBreak="0">
    <w:nsid w:val="0FA0166D"/>
    <w:multiLevelType w:val="multilevel"/>
    <w:tmpl w:val="3A56678C"/>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312C21"/>
    <w:multiLevelType w:val="hybridMultilevel"/>
    <w:tmpl w:val="43CAF454"/>
    <w:lvl w:ilvl="0" w:tplc="F46EAD34">
      <w:start w:val="1"/>
      <w:numFmt w:val="upperLetter"/>
      <w:lvlText w:val="%1."/>
      <w:lvlJc w:val="left"/>
      <w:pPr>
        <w:ind w:left="1540" w:hanging="721"/>
      </w:pPr>
      <w:rPr>
        <w:rFonts w:ascii="Arial" w:eastAsia="Arial" w:hAnsi="Arial" w:cs="Arial" w:hint="default"/>
        <w:spacing w:val="-1"/>
        <w:w w:val="100"/>
        <w:sz w:val="22"/>
        <w:szCs w:val="22"/>
        <w:lang w:val="en-US" w:eastAsia="en-US" w:bidi="ar-SA"/>
      </w:rPr>
    </w:lvl>
    <w:lvl w:ilvl="1" w:tplc="163A0C04">
      <w:numFmt w:val="bullet"/>
      <w:lvlText w:val="•"/>
      <w:lvlJc w:val="left"/>
      <w:pPr>
        <w:ind w:left="2342" w:hanging="721"/>
      </w:pPr>
      <w:rPr>
        <w:rFonts w:hint="default"/>
        <w:lang w:val="en-US" w:eastAsia="en-US" w:bidi="ar-SA"/>
      </w:rPr>
    </w:lvl>
    <w:lvl w:ilvl="2" w:tplc="6A163872">
      <w:numFmt w:val="bullet"/>
      <w:lvlText w:val="•"/>
      <w:lvlJc w:val="left"/>
      <w:pPr>
        <w:ind w:left="3144" w:hanging="721"/>
      </w:pPr>
      <w:rPr>
        <w:rFonts w:hint="default"/>
        <w:lang w:val="en-US" w:eastAsia="en-US" w:bidi="ar-SA"/>
      </w:rPr>
    </w:lvl>
    <w:lvl w:ilvl="3" w:tplc="E250A7BA">
      <w:numFmt w:val="bullet"/>
      <w:lvlText w:val="•"/>
      <w:lvlJc w:val="left"/>
      <w:pPr>
        <w:ind w:left="3946" w:hanging="721"/>
      </w:pPr>
      <w:rPr>
        <w:rFonts w:hint="default"/>
        <w:lang w:val="en-US" w:eastAsia="en-US" w:bidi="ar-SA"/>
      </w:rPr>
    </w:lvl>
    <w:lvl w:ilvl="4" w:tplc="0F522B02">
      <w:numFmt w:val="bullet"/>
      <w:lvlText w:val="•"/>
      <w:lvlJc w:val="left"/>
      <w:pPr>
        <w:ind w:left="4748" w:hanging="721"/>
      </w:pPr>
      <w:rPr>
        <w:rFonts w:hint="default"/>
        <w:lang w:val="en-US" w:eastAsia="en-US" w:bidi="ar-SA"/>
      </w:rPr>
    </w:lvl>
    <w:lvl w:ilvl="5" w:tplc="35706406">
      <w:numFmt w:val="bullet"/>
      <w:lvlText w:val="•"/>
      <w:lvlJc w:val="left"/>
      <w:pPr>
        <w:ind w:left="5550" w:hanging="721"/>
      </w:pPr>
      <w:rPr>
        <w:rFonts w:hint="default"/>
        <w:lang w:val="en-US" w:eastAsia="en-US" w:bidi="ar-SA"/>
      </w:rPr>
    </w:lvl>
    <w:lvl w:ilvl="6" w:tplc="AD9CB808">
      <w:numFmt w:val="bullet"/>
      <w:lvlText w:val="•"/>
      <w:lvlJc w:val="left"/>
      <w:pPr>
        <w:ind w:left="6352" w:hanging="721"/>
      </w:pPr>
      <w:rPr>
        <w:rFonts w:hint="default"/>
        <w:lang w:val="en-US" w:eastAsia="en-US" w:bidi="ar-SA"/>
      </w:rPr>
    </w:lvl>
    <w:lvl w:ilvl="7" w:tplc="87E6FEA6">
      <w:numFmt w:val="bullet"/>
      <w:lvlText w:val="•"/>
      <w:lvlJc w:val="left"/>
      <w:pPr>
        <w:ind w:left="7154" w:hanging="721"/>
      </w:pPr>
      <w:rPr>
        <w:rFonts w:hint="default"/>
        <w:lang w:val="en-US" w:eastAsia="en-US" w:bidi="ar-SA"/>
      </w:rPr>
    </w:lvl>
    <w:lvl w:ilvl="8" w:tplc="B150C41C">
      <w:numFmt w:val="bullet"/>
      <w:lvlText w:val="•"/>
      <w:lvlJc w:val="left"/>
      <w:pPr>
        <w:ind w:left="7956" w:hanging="721"/>
      </w:pPr>
      <w:rPr>
        <w:rFonts w:hint="default"/>
        <w:lang w:val="en-US" w:eastAsia="en-US" w:bidi="ar-SA"/>
      </w:rPr>
    </w:lvl>
  </w:abstractNum>
  <w:abstractNum w:abstractNumId="4" w15:restartNumberingAfterBreak="0">
    <w:nsid w:val="17765058"/>
    <w:multiLevelType w:val="hybridMultilevel"/>
    <w:tmpl w:val="2DA46FB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F5926"/>
    <w:multiLevelType w:val="hybridMultilevel"/>
    <w:tmpl w:val="43CAF454"/>
    <w:lvl w:ilvl="0" w:tplc="FFFFFFFF">
      <w:start w:val="1"/>
      <w:numFmt w:val="upperLetter"/>
      <w:lvlText w:val="%1."/>
      <w:lvlJc w:val="left"/>
      <w:pPr>
        <w:ind w:left="1540" w:hanging="721"/>
      </w:pPr>
      <w:rPr>
        <w:rFonts w:ascii="Arial" w:eastAsia="Arial" w:hAnsi="Arial" w:cs="Arial" w:hint="default"/>
        <w:spacing w:val="-1"/>
        <w:w w:val="100"/>
        <w:sz w:val="22"/>
        <w:szCs w:val="22"/>
        <w:lang w:val="en-US" w:eastAsia="en-US" w:bidi="ar-SA"/>
      </w:rPr>
    </w:lvl>
    <w:lvl w:ilvl="1" w:tplc="FFFFFFFF">
      <w:numFmt w:val="bullet"/>
      <w:lvlText w:val="•"/>
      <w:lvlJc w:val="left"/>
      <w:pPr>
        <w:ind w:left="2342" w:hanging="721"/>
      </w:pPr>
      <w:rPr>
        <w:rFonts w:hint="default"/>
        <w:lang w:val="en-US" w:eastAsia="en-US" w:bidi="ar-SA"/>
      </w:rPr>
    </w:lvl>
    <w:lvl w:ilvl="2" w:tplc="FFFFFFFF">
      <w:numFmt w:val="bullet"/>
      <w:lvlText w:val="•"/>
      <w:lvlJc w:val="left"/>
      <w:pPr>
        <w:ind w:left="3144" w:hanging="721"/>
      </w:pPr>
      <w:rPr>
        <w:rFonts w:hint="default"/>
        <w:lang w:val="en-US" w:eastAsia="en-US" w:bidi="ar-SA"/>
      </w:rPr>
    </w:lvl>
    <w:lvl w:ilvl="3" w:tplc="FFFFFFFF">
      <w:numFmt w:val="bullet"/>
      <w:lvlText w:val="•"/>
      <w:lvlJc w:val="left"/>
      <w:pPr>
        <w:ind w:left="3946" w:hanging="721"/>
      </w:pPr>
      <w:rPr>
        <w:rFonts w:hint="default"/>
        <w:lang w:val="en-US" w:eastAsia="en-US" w:bidi="ar-SA"/>
      </w:rPr>
    </w:lvl>
    <w:lvl w:ilvl="4" w:tplc="FFFFFFFF">
      <w:numFmt w:val="bullet"/>
      <w:lvlText w:val="•"/>
      <w:lvlJc w:val="left"/>
      <w:pPr>
        <w:ind w:left="4748" w:hanging="721"/>
      </w:pPr>
      <w:rPr>
        <w:rFonts w:hint="default"/>
        <w:lang w:val="en-US" w:eastAsia="en-US" w:bidi="ar-SA"/>
      </w:rPr>
    </w:lvl>
    <w:lvl w:ilvl="5" w:tplc="FFFFFFFF">
      <w:numFmt w:val="bullet"/>
      <w:lvlText w:val="•"/>
      <w:lvlJc w:val="left"/>
      <w:pPr>
        <w:ind w:left="5550" w:hanging="721"/>
      </w:pPr>
      <w:rPr>
        <w:rFonts w:hint="default"/>
        <w:lang w:val="en-US" w:eastAsia="en-US" w:bidi="ar-SA"/>
      </w:rPr>
    </w:lvl>
    <w:lvl w:ilvl="6" w:tplc="FFFFFFFF">
      <w:numFmt w:val="bullet"/>
      <w:lvlText w:val="•"/>
      <w:lvlJc w:val="left"/>
      <w:pPr>
        <w:ind w:left="6352" w:hanging="721"/>
      </w:pPr>
      <w:rPr>
        <w:rFonts w:hint="default"/>
        <w:lang w:val="en-US" w:eastAsia="en-US" w:bidi="ar-SA"/>
      </w:rPr>
    </w:lvl>
    <w:lvl w:ilvl="7" w:tplc="FFFFFFFF">
      <w:numFmt w:val="bullet"/>
      <w:lvlText w:val="•"/>
      <w:lvlJc w:val="left"/>
      <w:pPr>
        <w:ind w:left="7154" w:hanging="721"/>
      </w:pPr>
      <w:rPr>
        <w:rFonts w:hint="default"/>
        <w:lang w:val="en-US" w:eastAsia="en-US" w:bidi="ar-SA"/>
      </w:rPr>
    </w:lvl>
    <w:lvl w:ilvl="8" w:tplc="FFFFFFFF">
      <w:numFmt w:val="bullet"/>
      <w:lvlText w:val="•"/>
      <w:lvlJc w:val="left"/>
      <w:pPr>
        <w:ind w:left="7956" w:hanging="721"/>
      </w:pPr>
      <w:rPr>
        <w:rFonts w:hint="default"/>
        <w:lang w:val="en-US" w:eastAsia="en-US" w:bidi="ar-SA"/>
      </w:rPr>
    </w:lvl>
  </w:abstractNum>
  <w:abstractNum w:abstractNumId="6" w15:restartNumberingAfterBreak="0">
    <w:nsid w:val="3D860894"/>
    <w:multiLevelType w:val="hybridMultilevel"/>
    <w:tmpl w:val="30F0EB34"/>
    <w:lvl w:ilvl="0" w:tplc="93D03E6A">
      <w:start w:val="1"/>
      <w:numFmt w:val="lowerLetter"/>
      <w:lvlText w:val="%1."/>
      <w:lvlJc w:val="left"/>
      <w:pPr>
        <w:ind w:left="1540" w:hanging="721"/>
      </w:pPr>
      <w:rPr>
        <w:rFonts w:hint="default"/>
        <w:spacing w:val="-1"/>
        <w:w w:val="100"/>
        <w:sz w:val="22"/>
        <w:szCs w:val="22"/>
        <w:lang w:val="en-US" w:eastAsia="en-US" w:bidi="ar-SA"/>
      </w:rPr>
    </w:lvl>
    <w:lvl w:ilvl="1" w:tplc="FFFFFFFF">
      <w:numFmt w:val="bullet"/>
      <w:lvlText w:val="•"/>
      <w:lvlJc w:val="left"/>
      <w:pPr>
        <w:ind w:left="2342" w:hanging="721"/>
      </w:pPr>
      <w:rPr>
        <w:rFonts w:hint="default"/>
        <w:lang w:val="en-US" w:eastAsia="en-US" w:bidi="ar-SA"/>
      </w:rPr>
    </w:lvl>
    <w:lvl w:ilvl="2" w:tplc="FFFFFFFF">
      <w:numFmt w:val="bullet"/>
      <w:lvlText w:val="•"/>
      <w:lvlJc w:val="left"/>
      <w:pPr>
        <w:ind w:left="3144" w:hanging="721"/>
      </w:pPr>
      <w:rPr>
        <w:rFonts w:hint="default"/>
        <w:lang w:val="en-US" w:eastAsia="en-US" w:bidi="ar-SA"/>
      </w:rPr>
    </w:lvl>
    <w:lvl w:ilvl="3" w:tplc="FFFFFFFF">
      <w:numFmt w:val="bullet"/>
      <w:lvlText w:val="•"/>
      <w:lvlJc w:val="left"/>
      <w:pPr>
        <w:ind w:left="3946" w:hanging="721"/>
      </w:pPr>
      <w:rPr>
        <w:rFonts w:hint="default"/>
        <w:lang w:val="en-US" w:eastAsia="en-US" w:bidi="ar-SA"/>
      </w:rPr>
    </w:lvl>
    <w:lvl w:ilvl="4" w:tplc="FFFFFFFF">
      <w:numFmt w:val="bullet"/>
      <w:lvlText w:val="•"/>
      <w:lvlJc w:val="left"/>
      <w:pPr>
        <w:ind w:left="4748" w:hanging="721"/>
      </w:pPr>
      <w:rPr>
        <w:rFonts w:hint="default"/>
        <w:lang w:val="en-US" w:eastAsia="en-US" w:bidi="ar-SA"/>
      </w:rPr>
    </w:lvl>
    <w:lvl w:ilvl="5" w:tplc="FFFFFFFF">
      <w:numFmt w:val="bullet"/>
      <w:lvlText w:val="•"/>
      <w:lvlJc w:val="left"/>
      <w:pPr>
        <w:ind w:left="5550" w:hanging="721"/>
      </w:pPr>
      <w:rPr>
        <w:rFonts w:hint="default"/>
        <w:lang w:val="en-US" w:eastAsia="en-US" w:bidi="ar-SA"/>
      </w:rPr>
    </w:lvl>
    <w:lvl w:ilvl="6" w:tplc="FFFFFFFF">
      <w:numFmt w:val="bullet"/>
      <w:lvlText w:val="•"/>
      <w:lvlJc w:val="left"/>
      <w:pPr>
        <w:ind w:left="6352" w:hanging="721"/>
      </w:pPr>
      <w:rPr>
        <w:rFonts w:hint="default"/>
        <w:lang w:val="en-US" w:eastAsia="en-US" w:bidi="ar-SA"/>
      </w:rPr>
    </w:lvl>
    <w:lvl w:ilvl="7" w:tplc="FFFFFFFF">
      <w:numFmt w:val="bullet"/>
      <w:lvlText w:val="•"/>
      <w:lvlJc w:val="left"/>
      <w:pPr>
        <w:ind w:left="7154" w:hanging="721"/>
      </w:pPr>
      <w:rPr>
        <w:rFonts w:hint="default"/>
        <w:lang w:val="en-US" w:eastAsia="en-US" w:bidi="ar-SA"/>
      </w:rPr>
    </w:lvl>
    <w:lvl w:ilvl="8" w:tplc="FFFFFFFF">
      <w:numFmt w:val="bullet"/>
      <w:lvlText w:val="•"/>
      <w:lvlJc w:val="left"/>
      <w:pPr>
        <w:ind w:left="7956" w:hanging="721"/>
      </w:pPr>
      <w:rPr>
        <w:rFonts w:hint="default"/>
        <w:lang w:val="en-US" w:eastAsia="en-US" w:bidi="ar-SA"/>
      </w:rPr>
    </w:lvl>
  </w:abstractNum>
  <w:abstractNum w:abstractNumId="7" w15:restartNumberingAfterBreak="0">
    <w:nsid w:val="4A5A2BDB"/>
    <w:multiLevelType w:val="hybridMultilevel"/>
    <w:tmpl w:val="6F80F5A8"/>
    <w:lvl w:ilvl="0" w:tplc="79064872">
      <w:start w:val="1"/>
      <w:numFmt w:val="decimal"/>
      <w:lvlText w:val="03.0%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8" w15:restartNumberingAfterBreak="0">
    <w:nsid w:val="562D3FFD"/>
    <w:multiLevelType w:val="hybridMultilevel"/>
    <w:tmpl w:val="18DE64F6"/>
    <w:lvl w:ilvl="0" w:tplc="93D03E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74060"/>
    <w:multiLevelType w:val="multilevel"/>
    <w:tmpl w:val="01F08B5A"/>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upperRoman"/>
      <w:lvlText w:val="%5."/>
      <w:lvlJc w:val="righ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D7281F"/>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81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33577BF"/>
    <w:multiLevelType w:val="hybridMultilevel"/>
    <w:tmpl w:val="58AEA78C"/>
    <w:lvl w:ilvl="0" w:tplc="24C62412">
      <w:numFmt w:val="bullet"/>
      <w:lvlText w:val=""/>
      <w:lvlJc w:val="left"/>
      <w:pPr>
        <w:ind w:left="2980" w:hanging="361"/>
      </w:pPr>
      <w:rPr>
        <w:rFonts w:ascii="Symbol" w:eastAsia="Symbol" w:hAnsi="Symbol" w:cs="Symbol" w:hint="default"/>
        <w:w w:val="100"/>
        <w:sz w:val="22"/>
        <w:szCs w:val="22"/>
        <w:lang w:val="en-US" w:eastAsia="en-US" w:bidi="ar-SA"/>
      </w:rPr>
    </w:lvl>
    <w:lvl w:ilvl="1" w:tplc="43AA2B46">
      <w:numFmt w:val="bullet"/>
      <w:lvlText w:val="•"/>
      <w:lvlJc w:val="left"/>
      <w:pPr>
        <w:ind w:left="3638" w:hanging="361"/>
      </w:pPr>
      <w:rPr>
        <w:rFonts w:hint="default"/>
        <w:lang w:val="en-US" w:eastAsia="en-US" w:bidi="ar-SA"/>
      </w:rPr>
    </w:lvl>
    <w:lvl w:ilvl="2" w:tplc="AA620950">
      <w:numFmt w:val="bullet"/>
      <w:lvlText w:val="•"/>
      <w:lvlJc w:val="left"/>
      <w:pPr>
        <w:ind w:left="4296" w:hanging="361"/>
      </w:pPr>
      <w:rPr>
        <w:rFonts w:hint="default"/>
        <w:lang w:val="en-US" w:eastAsia="en-US" w:bidi="ar-SA"/>
      </w:rPr>
    </w:lvl>
    <w:lvl w:ilvl="3" w:tplc="AFC22A58">
      <w:numFmt w:val="bullet"/>
      <w:lvlText w:val="•"/>
      <w:lvlJc w:val="left"/>
      <w:pPr>
        <w:ind w:left="4954" w:hanging="361"/>
      </w:pPr>
      <w:rPr>
        <w:rFonts w:hint="default"/>
        <w:lang w:val="en-US" w:eastAsia="en-US" w:bidi="ar-SA"/>
      </w:rPr>
    </w:lvl>
    <w:lvl w:ilvl="4" w:tplc="D0FA9994">
      <w:numFmt w:val="bullet"/>
      <w:lvlText w:val="•"/>
      <w:lvlJc w:val="left"/>
      <w:pPr>
        <w:ind w:left="5612" w:hanging="361"/>
      </w:pPr>
      <w:rPr>
        <w:rFonts w:hint="default"/>
        <w:lang w:val="en-US" w:eastAsia="en-US" w:bidi="ar-SA"/>
      </w:rPr>
    </w:lvl>
    <w:lvl w:ilvl="5" w:tplc="3976C866">
      <w:numFmt w:val="bullet"/>
      <w:lvlText w:val="•"/>
      <w:lvlJc w:val="left"/>
      <w:pPr>
        <w:ind w:left="6270" w:hanging="361"/>
      </w:pPr>
      <w:rPr>
        <w:rFonts w:hint="default"/>
        <w:lang w:val="en-US" w:eastAsia="en-US" w:bidi="ar-SA"/>
      </w:rPr>
    </w:lvl>
    <w:lvl w:ilvl="6" w:tplc="93A236FE">
      <w:numFmt w:val="bullet"/>
      <w:lvlText w:val="•"/>
      <w:lvlJc w:val="left"/>
      <w:pPr>
        <w:ind w:left="6928" w:hanging="361"/>
      </w:pPr>
      <w:rPr>
        <w:rFonts w:hint="default"/>
        <w:lang w:val="en-US" w:eastAsia="en-US" w:bidi="ar-SA"/>
      </w:rPr>
    </w:lvl>
    <w:lvl w:ilvl="7" w:tplc="04F8FC7E">
      <w:numFmt w:val="bullet"/>
      <w:lvlText w:val="•"/>
      <w:lvlJc w:val="left"/>
      <w:pPr>
        <w:ind w:left="7586" w:hanging="361"/>
      </w:pPr>
      <w:rPr>
        <w:rFonts w:hint="default"/>
        <w:lang w:val="en-US" w:eastAsia="en-US" w:bidi="ar-SA"/>
      </w:rPr>
    </w:lvl>
    <w:lvl w:ilvl="8" w:tplc="28803522">
      <w:numFmt w:val="bullet"/>
      <w:lvlText w:val="•"/>
      <w:lvlJc w:val="left"/>
      <w:pPr>
        <w:ind w:left="8244" w:hanging="361"/>
      </w:pPr>
      <w:rPr>
        <w:rFonts w:hint="default"/>
        <w:lang w:val="en-US" w:eastAsia="en-US" w:bidi="ar-SA"/>
      </w:rPr>
    </w:lvl>
  </w:abstractNum>
  <w:abstractNum w:abstractNumId="12" w15:restartNumberingAfterBreak="0">
    <w:nsid w:val="73F12364"/>
    <w:multiLevelType w:val="multilevel"/>
    <w:tmpl w:val="CFFA544E"/>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decimal"/>
      <w:lvlText w:val="03.0%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990A6B"/>
    <w:multiLevelType w:val="hybridMultilevel"/>
    <w:tmpl w:val="944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576339">
    <w:abstractNumId w:val="3"/>
  </w:num>
  <w:num w:numId="2" w16cid:durableId="850990071">
    <w:abstractNumId w:val="1"/>
  </w:num>
  <w:num w:numId="3" w16cid:durableId="804389857">
    <w:abstractNumId w:val="11"/>
  </w:num>
  <w:num w:numId="4" w16cid:durableId="1480687095">
    <w:abstractNumId w:val="13"/>
  </w:num>
  <w:num w:numId="5" w16cid:durableId="1108234881">
    <w:abstractNumId w:val="5"/>
  </w:num>
  <w:num w:numId="6" w16cid:durableId="324551103">
    <w:abstractNumId w:val="10"/>
  </w:num>
  <w:num w:numId="7" w16cid:durableId="403991104">
    <w:abstractNumId w:val="12"/>
  </w:num>
  <w:num w:numId="8" w16cid:durableId="1219711222">
    <w:abstractNumId w:val="7"/>
  </w:num>
  <w:num w:numId="9" w16cid:durableId="1005087327">
    <w:abstractNumId w:val="0"/>
  </w:num>
  <w:num w:numId="10" w16cid:durableId="1990134010">
    <w:abstractNumId w:val="9"/>
  </w:num>
  <w:num w:numId="11" w16cid:durableId="152258321">
    <w:abstractNumId w:val="2"/>
  </w:num>
  <w:num w:numId="12" w16cid:durableId="1210992685">
    <w:abstractNumId w:val="6"/>
  </w:num>
  <w:num w:numId="13" w16cid:durableId="2019194072">
    <w:abstractNumId w:val="8"/>
  </w:num>
  <w:num w:numId="14" w16cid:durableId="1954901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B"/>
    <w:rsid w:val="00001662"/>
    <w:rsid w:val="0000484F"/>
    <w:rsid w:val="00006F6A"/>
    <w:rsid w:val="0001101C"/>
    <w:rsid w:val="00016B4A"/>
    <w:rsid w:val="0002543A"/>
    <w:rsid w:val="000405BB"/>
    <w:rsid w:val="0004334E"/>
    <w:rsid w:val="00051282"/>
    <w:rsid w:val="00060B59"/>
    <w:rsid w:val="00061F9B"/>
    <w:rsid w:val="0006423A"/>
    <w:rsid w:val="0006599F"/>
    <w:rsid w:val="000669F0"/>
    <w:rsid w:val="00073143"/>
    <w:rsid w:val="00073341"/>
    <w:rsid w:val="00073536"/>
    <w:rsid w:val="000814AB"/>
    <w:rsid w:val="00083B08"/>
    <w:rsid w:val="00095142"/>
    <w:rsid w:val="00095F55"/>
    <w:rsid w:val="000A7EEF"/>
    <w:rsid w:val="000B056B"/>
    <w:rsid w:val="000B5127"/>
    <w:rsid w:val="000B6CD6"/>
    <w:rsid w:val="000C6CE9"/>
    <w:rsid w:val="000C730C"/>
    <w:rsid w:val="00103857"/>
    <w:rsid w:val="0012330E"/>
    <w:rsid w:val="00140F31"/>
    <w:rsid w:val="001421F3"/>
    <w:rsid w:val="001432CF"/>
    <w:rsid w:val="00146AB6"/>
    <w:rsid w:val="00147B43"/>
    <w:rsid w:val="00167D55"/>
    <w:rsid w:val="00171D98"/>
    <w:rsid w:val="0017497B"/>
    <w:rsid w:val="00176178"/>
    <w:rsid w:val="00185498"/>
    <w:rsid w:val="0019751C"/>
    <w:rsid w:val="001B6F99"/>
    <w:rsid w:val="001C0A0B"/>
    <w:rsid w:val="001C2DF6"/>
    <w:rsid w:val="001D2C01"/>
    <w:rsid w:val="001D6807"/>
    <w:rsid w:val="001E7721"/>
    <w:rsid w:val="001F194E"/>
    <w:rsid w:val="001F5358"/>
    <w:rsid w:val="002050ED"/>
    <w:rsid w:val="0021499F"/>
    <w:rsid w:val="00226B05"/>
    <w:rsid w:val="0023021A"/>
    <w:rsid w:val="002334A1"/>
    <w:rsid w:val="0024739D"/>
    <w:rsid w:val="00254841"/>
    <w:rsid w:val="002603E2"/>
    <w:rsid w:val="0026290E"/>
    <w:rsid w:val="00262961"/>
    <w:rsid w:val="00271681"/>
    <w:rsid w:val="0027705C"/>
    <w:rsid w:val="00277B1C"/>
    <w:rsid w:val="00280087"/>
    <w:rsid w:val="002A0BFC"/>
    <w:rsid w:val="002A15B3"/>
    <w:rsid w:val="002B6085"/>
    <w:rsid w:val="002B757C"/>
    <w:rsid w:val="002C1288"/>
    <w:rsid w:val="002D0602"/>
    <w:rsid w:val="002F2638"/>
    <w:rsid w:val="002F3453"/>
    <w:rsid w:val="003226E1"/>
    <w:rsid w:val="003306E4"/>
    <w:rsid w:val="00336070"/>
    <w:rsid w:val="0034060A"/>
    <w:rsid w:val="00354D20"/>
    <w:rsid w:val="00366A43"/>
    <w:rsid w:val="0036799C"/>
    <w:rsid w:val="00372297"/>
    <w:rsid w:val="00374CA3"/>
    <w:rsid w:val="0038032C"/>
    <w:rsid w:val="00384F30"/>
    <w:rsid w:val="0039007D"/>
    <w:rsid w:val="003A27C2"/>
    <w:rsid w:val="003A47CC"/>
    <w:rsid w:val="003A6BE5"/>
    <w:rsid w:val="003B0078"/>
    <w:rsid w:val="003C2594"/>
    <w:rsid w:val="003D1122"/>
    <w:rsid w:val="003E2E3E"/>
    <w:rsid w:val="003F46B6"/>
    <w:rsid w:val="003F52C7"/>
    <w:rsid w:val="003F5562"/>
    <w:rsid w:val="00413356"/>
    <w:rsid w:val="00413388"/>
    <w:rsid w:val="00432C95"/>
    <w:rsid w:val="00434401"/>
    <w:rsid w:val="00434CC7"/>
    <w:rsid w:val="0043591B"/>
    <w:rsid w:val="004408E6"/>
    <w:rsid w:val="004448E3"/>
    <w:rsid w:val="004553B5"/>
    <w:rsid w:val="00465211"/>
    <w:rsid w:val="004712BA"/>
    <w:rsid w:val="00477AF1"/>
    <w:rsid w:val="004904B7"/>
    <w:rsid w:val="004A2C79"/>
    <w:rsid w:val="004A451E"/>
    <w:rsid w:val="004A4C0E"/>
    <w:rsid w:val="004B119A"/>
    <w:rsid w:val="004B2490"/>
    <w:rsid w:val="004D1A9E"/>
    <w:rsid w:val="004E099C"/>
    <w:rsid w:val="004E2E39"/>
    <w:rsid w:val="004F0920"/>
    <w:rsid w:val="004F6680"/>
    <w:rsid w:val="005123B3"/>
    <w:rsid w:val="00532424"/>
    <w:rsid w:val="00535896"/>
    <w:rsid w:val="00540791"/>
    <w:rsid w:val="005552CA"/>
    <w:rsid w:val="005757B6"/>
    <w:rsid w:val="005857C7"/>
    <w:rsid w:val="005A1475"/>
    <w:rsid w:val="005B4F51"/>
    <w:rsid w:val="005C457E"/>
    <w:rsid w:val="005D2D9E"/>
    <w:rsid w:val="005D42A1"/>
    <w:rsid w:val="005E6909"/>
    <w:rsid w:val="005F183F"/>
    <w:rsid w:val="006056B9"/>
    <w:rsid w:val="00614959"/>
    <w:rsid w:val="00636C3E"/>
    <w:rsid w:val="00643DD2"/>
    <w:rsid w:val="00665DAC"/>
    <w:rsid w:val="00666138"/>
    <w:rsid w:val="006679A3"/>
    <w:rsid w:val="0067239A"/>
    <w:rsid w:val="00674BA0"/>
    <w:rsid w:val="00681A20"/>
    <w:rsid w:val="006928B9"/>
    <w:rsid w:val="00692B02"/>
    <w:rsid w:val="00693710"/>
    <w:rsid w:val="006A42CB"/>
    <w:rsid w:val="006C3405"/>
    <w:rsid w:val="006E24B7"/>
    <w:rsid w:val="006F208B"/>
    <w:rsid w:val="006F5A5D"/>
    <w:rsid w:val="00705688"/>
    <w:rsid w:val="00705C87"/>
    <w:rsid w:val="00716D7B"/>
    <w:rsid w:val="00720956"/>
    <w:rsid w:val="00721CA7"/>
    <w:rsid w:val="00725233"/>
    <w:rsid w:val="007305AE"/>
    <w:rsid w:val="007376ED"/>
    <w:rsid w:val="00764547"/>
    <w:rsid w:val="00767016"/>
    <w:rsid w:val="00777244"/>
    <w:rsid w:val="007A20B2"/>
    <w:rsid w:val="007B5380"/>
    <w:rsid w:val="007C2BA3"/>
    <w:rsid w:val="007D6C17"/>
    <w:rsid w:val="007E2C3C"/>
    <w:rsid w:val="007E6A50"/>
    <w:rsid w:val="007F55EF"/>
    <w:rsid w:val="008022B0"/>
    <w:rsid w:val="00802DD2"/>
    <w:rsid w:val="00804367"/>
    <w:rsid w:val="008050CB"/>
    <w:rsid w:val="00816F4D"/>
    <w:rsid w:val="00821AED"/>
    <w:rsid w:val="00825E6F"/>
    <w:rsid w:val="00832C08"/>
    <w:rsid w:val="0083405E"/>
    <w:rsid w:val="00841A17"/>
    <w:rsid w:val="0085062B"/>
    <w:rsid w:val="008705A0"/>
    <w:rsid w:val="008738D0"/>
    <w:rsid w:val="00877DC3"/>
    <w:rsid w:val="008918A8"/>
    <w:rsid w:val="008B15FD"/>
    <w:rsid w:val="008B6C33"/>
    <w:rsid w:val="008B7C8F"/>
    <w:rsid w:val="008C46D2"/>
    <w:rsid w:val="008E7975"/>
    <w:rsid w:val="008F03F2"/>
    <w:rsid w:val="008F215A"/>
    <w:rsid w:val="008F33DB"/>
    <w:rsid w:val="00906881"/>
    <w:rsid w:val="009072F9"/>
    <w:rsid w:val="00924AE4"/>
    <w:rsid w:val="0093219F"/>
    <w:rsid w:val="00950A61"/>
    <w:rsid w:val="009576B4"/>
    <w:rsid w:val="009578ED"/>
    <w:rsid w:val="00962D45"/>
    <w:rsid w:val="00967DB6"/>
    <w:rsid w:val="00973387"/>
    <w:rsid w:val="009750A3"/>
    <w:rsid w:val="009755DD"/>
    <w:rsid w:val="009D55C1"/>
    <w:rsid w:val="009E0815"/>
    <w:rsid w:val="009E1322"/>
    <w:rsid w:val="009F4BFC"/>
    <w:rsid w:val="00A05F77"/>
    <w:rsid w:val="00A16715"/>
    <w:rsid w:val="00A21DA7"/>
    <w:rsid w:val="00A44350"/>
    <w:rsid w:val="00A5087B"/>
    <w:rsid w:val="00A6200B"/>
    <w:rsid w:val="00A7639A"/>
    <w:rsid w:val="00A87298"/>
    <w:rsid w:val="00A94954"/>
    <w:rsid w:val="00AA658A"/>
    <w:rsid w:val="00AB0379"/>
    <w:rsid w:val="00AB0646"/>
    <w:rsid w:val="00AB4657"/>
    <w:rsid w:val="00AB7EAB"/>
    <w:rsid w:val="00AE15B2"/>
    <w:rsid w:val="00AE4626"/>
    <w:rsid w:val="00AE5C07"/>
    <w:rsid w:val="00B0352D"/>
    <w:rsid w:val="00B03995"/>
    <w:rsid w:val="00B107D1"/>
    <w:rsid w:val="00B12E7A"/>
    <w:rsid w:val="00B1397D"/>
    <w:rsid w:val="00B200BC"/>
    <w:rsid w:val="00B2373F"/>
    <w:rsid w:val="00B322D3"/>
    <w:rsid w:val="00B352F2"/>
    <w:rsid w:val="00B722BA"/>
    <w:rsid w:val="00B83F64"/>
    <w:rsid w:val="00B87EA0"/>
    <w:rsid w:val="00BA468D"/>
    <w:rsid w:val="00BB0F5C"/>
    <w:rsid w:val="00BC70E9"/>
    <w:rsid w:val="00BE4FE5"/>
    <w:rsid w:val="00BF1001"/>
    <w:rsid w:val="00BF1C1F"/>
    <w:rsid w:val="00BF7350"/>
    <w:rsid w:val="00BF7ACB"/>
    <w:rsid w:val="00C02C60"/>
    <w:rsid w:val="00C111AC"/>
    <w:rsid w:val="00C15FAB"/>
    <w:rsid w:val="00C1665E"/>
    <w:rsid w:val="00C16B4D"/>
    <w:rsid w:val="00C200B1"/>
    <w:rsid w:val="00C22FD8"/>
    <w:rsid w:val="00C256CC"/>
    <w:rsid w:val="00C274D4"/>
    <w:rsid w:val="00C27CBE"/>
    <w:rsid w:val="00C322B3"/>
    <w:rsid w:val="00C342B4"/>
    <w:rsid w:val="00C45C03"/>
    <w:rsid w:val="00C4673A"/>
    <w:rsid w:val="00C62782"/>
    <w:rsid w:val="00C70CAF"/>
    <w:rsid w:val="00C80B41"/>
    <w:rsid w:val="00C84DEB"/>
    <w:rsid w:val="00C93C57"/>
    <w:rsid w:val="00C96EC7"/>
    <w:rsid w:val="00C97D84"/>
    <w:rsid w:val="00CA068A"/>
    <w:rsid w:val="00CA31FB"/>
    <w:rsid w:val="00CB74BF"/>
    <w:rsid w:val="00CC034F"/>
    <w:rsid w:val="00CC4712"/>
    <w:rsid w:val="00CD590E"/>
    <w:rsid w:val="00CE1223"/>
    <w:rsid w:val="00CE2B1F"/>
    <w:rsid w:val="00CE3906"/>
    <w:rsid w:val="00CF0BCF"/>
    <w:rsid w:val="00CF2901"/>
    <w:rsid w:val="00D05690"/>
    <w:rsid w:val="00D34B60"/>
    <w:rsid w:val="00D45C5F"/>
    <w:rsid w:val="00D50CAE"/>
    <w:rsid w:val="00D52B64"/>
    <w:rsid w:val="00D53D5C"/>
    <w:rsid w:val="00D60474"/>
    <w:rsid w:val="00D64174"/>
    <w:rsid w:val="00D641E1"/>
    <w:rsid w:val="00D66D1A"/>
    <w:rsid w:val="00D73971"/>
    <w:rsid w:val="00D73B0A"/>
    <w:rsid w:val="00D7691D"/>
    <w:rsid w:val="00D94ADE"/>
    <w:rsid w:val="00D95B5D"/>
    <w:rsid w:val="00DA4A0B"/>
    <w:rsid w:val="00DC1686"/>
    <w:rsid w:val="00DD16F5"/>
    <w:rsid w:val="00DE3F8D"/>
    <w:rsid w:val="00DE5A22"/>
    <w:rsid w:val="00DE7EA9"/>
    <w:rsid w:val="00E03181"/>
    <w:rsid w:val="00E123A7"/>
    <w:rsid w:val="00E14256"/>
    <w:rsid w:val="00E17F5D"/>
    <w:rsid w:val="00E4137E"/>
    <w:rsid w:val="00E4393A"/>
    <w:rsid w:val="00E5597A"/>
    <w:rsid w:val="00E56E00"/>
    <w:rsid w:val="00E824CF"/>
    <w:rsid w:val="00E9469B"/>
    <w:rsid w:val="00EA19CC"/>
    <w:rsid w:val="00EB4A65"/>
    <w:rsid w:val="00EB7791"/>
    <w:rsid w:val="00EB78EF"/>
    <w:rsid w:val="00EC6B6D"/>
    <w:rsid w:val="00EC729E"/>
    <w:rsid w:val="00EC7C2C"/>
    <w:rsid w:val="00ED4998"/>
    <w:rsid w:val="00ED530E"/>
    <w:rsid w:val="00EE30E4"/>
    <w:rsid w:val="00EE4AEE"/>
    <w:rsid w:val="00EE60BF"/>
    <w:rsid w:val="00EE6E9F"/>
    <w:rsid w:val="00F04C0D"/>
    <w:rsid w:val="00F11E4D"/>
    <w:rsid w:val="00F12BDA"/>
    <w:rsid w:val="00F137C8"/>
    <w:rsid w:val="00F176F8"/>
    <w:rsid w:val="00F210FD"/>
    <w:rsid w:val="00F41FB8"/>
    <w:rsid w:val="00F44C46"/>
    <w:rsid w:val="00F45B46"/>
    <w:rsid w:val="00F53985"/>
    <w:rsid w:val="00F601E0"/>
    <w:rsid w:val="00F638E5"/>
    <w:rsid w:val="00F94012"/>
    <w:rsid w:val="00F947A9"/>
    <w:rsid w:val="00FA705C"/>
    <w:rsid w:val="00FA724D"/>
    <w:rsid w:val="00FB0753"/>
    <w:rsid w:val="00FB3206"/>
    <w:rsid w:val="00FC7E94"/>
    <w:rsid w:val="00FD001A"/>
    <w:rsid w:val="00FD6C25"/>
    <w:rsid w:val="00FE4C1F"/>
    <w:rsid w:val="00FE666D"/>
    <w:rsid w:val="00FF3619"/>
    <w:rsid w:val="00FF3D77"/>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887"/>
  <w15:docId w15:val="{14F906EE-2748-401D-A7FC-756F4F9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B41"/>
    <w:rPr>
      <w:color w:val="0000FF" w:themeColor="hyperlink"/>
      <w:u w:val="single"/>
    </w:rPr>
  </w:style>
  <w:style w:type="character" w:styleId="UnresolvedMention">
    <w:name w:val="Unresolved Mention"/>
    <w:basedOn w:val="DefaultParagraphFont"/>
    <w:uiPriority w:val="99"/>
    <w:semiHidden/>
    <w:unhideWhenUsed/>
    <w:rsid w:val="00C8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9598">
      <w:bodyDiv w:val="1"/>
      <w:marLeft w:val="0"/>
      <w:marRight w:val="0"/>
      <w:marTop w:val="0"/>
      <w:marBottom w:val="0"/>
      <w:divBdr>
        <w:top w:val="none" w:sz="0" w:space="0" w:color="auto"/>
        <w:left w:val="none" w:sz="0" w:space="0" w:color="auto"/>
        <w:bottom w:val="none" w:sz="0" w:space="0" w:color="auto"/>
        <w:right w:val="none" w:sz="0" w:space="0" w:color="auto"/>
      </w:divBdr>
      <w:divsChild>
        <w:div w:id="622227789">
          <w:marLeft w:val="0"/>
          <w:marRight w:val="0"/>
          <w:marTop w:val="0"/>
          <w:marBottom w:val="0"/>
          <w:divBdr>
            <w:top w:val="none" w:sz="0" w:space="0" w:color="auto"/>
            <w:left w:val="none" w:sz="0" w:space="0" w:color="auto"/>
            <w:bottom w:val="none" w:sz="0" w:space="0" w:color="auto"/>
            <w:right w:val="none" w:sz="0" w:space="0" w:color="auto"/>
          </w:divBdr>
        </w:div>
        <w:div w:id="396901998">
          <w:marLeft w:val="0"/>
          <w:marRight w:val="0"/>
          <w:marTop w:val="0"/>
          <w:marBottom w:val="0"/>
          <w:divBdr>
            <w:top w:val="none" w:sz="0" w:space="0" w:color="auto"/>
            <w:left w:val="none" w:sz="0" w:space="0" w:color="auto"/>
            <w:bottom w:val="none" w:sz="0" w:space="0" w:color="auto"/>
            <w:right w:val="none" w:sz="0" w:space="0" w:color="auto"/>
          </w:divBdr>
        </w:div>
        <w:div w:id="910431912">
          <w:marLeft w:val="0"/>
          <w:marRight w:val="0"/>
          <w:marTop w:val="0"/>
          <w:marBottom w:val="0"/>
          <w:divBdr>
            <w:top w:val="none" w:sz="0" w:space="0" w:color="auto"/>
            <w:left w:val="none" w:sz="0" w:space="0" w:color="auto"/>
            <w:bottom w:val="none" w:sz="0" w:space="0" w:color="auto"/>
            <w:right w:val="none" w:sz="0" w:space="0" w:color="auto"/>
          </w:divBdr>
        </w:div>
        <w:div w:id="1368792350">
          <w:marLeft w:val="0"/>
          <w:marRight w:val="0"/>
          <w:marTop w:val="0"/>
          <w:marBottom w:val="0"/>
          <w:divBdr>
            <w:top w:val="none" w:sz="0" w:space="0" w:color="auto"/>
            <w:left w:val="none" w:sz="0" w:space="0" w:color="auto"/>
            <w:bottom w:val="none" w:sz="0" w:space="0" w:color="auto"/>
            <w:right w:val="none" w:sz="0" w:space="0" w:color="auto"/>
          </w:divBdr>
        </w:div>
      </w:divsChild>
    </w:div>
    <w:div w:id="697851763">
      <w:bodyDiv w:val="1"/>
      <w:marLeft w:val="0"/>
      <w:marRight w:val="0"/>
      <w:marTop w:val="0"/>
      <w:marBottom w:val="0"/>
      <w:divBdr>
        <w:top w:val="none" w:sz="0" w:space="0" w:color="auto"/>
        <w:left w:val="none" w:sz="0" w:space="0" w:color="auto"/>
        <w:bottom w:val="none" w:sz="0" w:space="0" w:color="auto"/>
        <w:right w:val="none" w:sz="0" w:space="0" w:color="auto"/>
      </w:divBdr>
    </w:div>
    <w:div w:id="121492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2-11.html" TargetMode="External"/><Relationship Id="rId13" Type="http://schemas.openxmlformats.org/officeDocument/2006/relationships/hyperlink" Target="https://facultyresources.provost.txstate.edu/resources/calendars.html"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licies.txstate.edu/division-policies/academic-affairs/04-02-10.html" TargetMode="External"/><Relationship Id="rId12" Type="http://schemas.openxmlformats.org/officeDocument/2006/relationships/hyperlink" Target="https://policies.txstate.edu/division-policies/academic-affairs/04-01-50.html" TargetMode="External"/><Relationship Id="rId17" Type="http://schemas.openxmlformats.org/officeDocument/2006/relationships/hyperlink" Target="http://libproxy.txstate.edu/login?url=https://www.cabells.com/" TargetMode="External"/><Relationship Id="rId2" Type="http://schemas.openxmlformats.org/officeDocument/2006/relationships/styles" Target="styles.xml"/><Relationship Id="rId16" Type="http://schemas.openxmlformats.org/officeDocument/2006/relationships/hyperlink" Target="https://www.scimagoj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cies.txstate.edu/division-policies/academic-affairs/04-02-02.html" TargetMode="External"/><Relationship Id="rId11" Type="http://schemas.openxmlformats.org/officeDocument/2006/relationships/hyperlink" Target="https://gato-docs.its.txstate.edu/jcr:7c25f69d-7ab4-4ff7-98b1-9c804234796d/PPS%2004.02.20%20Final-Executed.pdf" TargetMode="External"/><Relationship Id="rId5" Type="http://schemas.openxmlformats.org/officeDocument/2006/relationships/hyperlink" Target="https://policies.txstate.edu/division-policies/academic-affairs/04-02-01.html" TargetMode="External"/><Relationship Id="rId15" Type="http://schemas.openxmlformats.org/officeDocument/2006/relationships/hyperlink" Target="https://www.elsevier.com/solutions/scopus" TargetMode="External"/><Relationship Id="rId10" Type="http://schemas.openxmlformats.org/officeDocument/2006/relationships/hyperlink" Target="https://policies.txstate.edu/division-policies/academic-affairs/04-02-2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to-docs.its.txstate.edu/jcr:55c0afa0-482c-49c5-9d71-f4239474e5f3/04.01.50%20Merit%20and%20Performance%20Evaluation.pdf" TargetMode="External"/><Relationship Id="rId14" Type="http://schemas.openxmlformats.org/officeDocument/2006/relationships/hyperlink" Target="http://libproxy.txstate.edu/login?url=https://jcr.clari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2450</Words>
  <Characters>13968</Characters>
  <Application>Microsoft Office Word</Application>
  <DocSecurity>0</DocSecurity>
  <Lines>116</Lines>
  <Paragraphs>32</Paragraphs>
  <ScaleCrop>false</ScaleCrop>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HA/P&amp;P  #2</dc:title>
  <dc:creator>Julie Carroll</dc:creator>
  <cp:lastModifiedBy>Garcia, Robert A</cp:lastModifiedBy>
  <cp:revision>36</cp:revision>
  <dcterms:created xsi:type="dcterms:W3CDTF">2023-02-28T18:59:00Z</dcterms:created>
  <dcterms:modified xsi:type="dcterms:W3CDTF">2023-03-02T15:50:00Z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2020-08-17T00:00:00Z</vt:filetime>
  </property>
</Properties>
</file>