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6568CF73" w:rsidR="00CC50B2" w:rsidRDefault="000F6BB6" w:rsidP="00FA3CAC">
      <w:pPr>
        <w:pStyle w:val="Heading2"/>
        <w:spacing w:before="0" w:line="240" w:lineRule="auto"/>
        <w:ind w:left="360" w:right="180"/>
      </w:pPr>
      <w:r w:rsidRPr="000F6BB6">
        <w:t xml:space="preserve">Major in </w:t>
      </w:r>
      <w:r w:rsidR="00CA4795">
        <w:t>Spanish</w:t>
      </w:r>
    </w:p>
    <w:p w14:paraId="576B6108" w14:textId="68C6A5F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6B47FD">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A8761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CA4795">
        <w:rPr>
          <w:rFonts w:asciiTheme="majorHAnsi" w:hAnsiTheme="majorHAnsi"/>
          <w:sz w:val="21"/>
          <w:szCs w:val="21"/>
        </w:rPr>
        <w:t>SPANISH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078F0CCB"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1411</w:t>
            </w:r>
          </w:p>
        </w:tc>
        <w:tc>
          <w:tcPr>
            <w:tcW w:w="4230" w:type="dxa"/>
          </w:tcPr>
          <w:p w14:paraId="231D2DF6" w14:textId="23F94472"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1410</w:t>
            </w:r>
          </w:p>
        </w:tc>
      </w:tr>
      <w:tr w:rsidR="000F4DBC" w:rsidRPr="002975B6" w14:paraId="19DAA7CD" w14:textId="77777777" w:rsidTr="000F4DBC">
        <w:trPr>
          <w:trHeight w:val="265"/>
          <w:tblHeader/>
        </w:trPr>
        <w:tc>
          <w:tcPr>
            <w:tcW w:w="4662" w:type="dxa"/>
          </w:tcPr>
          <w:p w14:paraId="53D6AD80" w14:textId="5941452D" w:rsidR="000F4DBC" w:rsidRDefault="00CA4795" w:rsidP="000F4DBC">
            <w:pPr>
              <w:ind w:right="180"/>
              <w:rPr>
                <w:rFonts w:asciiTheme="majorHAnsi" w:hAnsiTheme="majorHAnsi"/>
                <w:sz w:val="21"/>
                <w:szCs w:val="21"/>
              </w:rPr>
            </w:pPr>
            <w:r>
              <w:rPr>
                <w:rFonts w:asciiTheme="majorHAnsi" w:hAnsiTheme="majorHAnsi"/>
                <w:sz w:val="21"/>
                <w:szCs w:val="21"/>
              </w:rPr>
              <w:t>SPAN 1412</w:t>
            </w:r>
          </w:p>
        </w:tc>
        <w:tc>
          <w:tcPr>
            <w:tcW w:w="4230" w:type="dxa"/>
          </w:tcPr>
          <w:p w14:paraId="6DCAD858" w14:textId="18D31D59" w:rsidR="000F4DBC" w:rsidRDefault="00CA4795" w:rsidP="000F4DBC">
            <w:pPr>
              <w:ind w:right="180"/>
              <w:rPr>
                <w:rFonts w:asciiTheme="majorHAnsi" w:hAnsiTheme="majorHAnsi"/>
                <w:sz w:val="21"/>
                <w:szCs w:val="21"/>
              </w:rPr>
            </w:pPr>
            <w:r>
              <w:rPr>
                <w:rFonts w:asciiTheme="majorHAnsi" w:hAnsiTheme="majorHAnsi"/>
                <w:sz w:val="21"/>
                <w:szCs w:val="21"/>
              </w:rPr>
              <w:t>SPAN 1420</w:t>
            </w:r>
          </w:p>
        </w:tc>
      </w:tr>
      <w:tr w:rsidR="00275ED0" w:rsidRPr="002975B6" w14:paraId="04FA1028" w14:textId="77777777" w:rsidTr="000F4DBC">
        <w:trPr>
          <w:trHeight w:val="265"/>
          <w:tblHeader/>
        </w:trPr>
        <w:tc>
          <w:tcPr>
            <w:tcW w:w="4662" w:type="dxa"/>
          </w:tcPr>
          <w:p w14:paraId="75139B8B" w14:textId="1129FB19" w:rsidR="00275ED0" w:rsidRDefault="00CA4795" w:rsidP="000F4DBC">
            <w:pPr>
              <w:ind w:right="180"/>
              <w:rPr>
                <w:rFonts w:asciiTheme="majorHAnsi" w:hAnsiTheme="majorHAnsi"/>
                <w:sz w:val="21"/>
                <w:szCs w:val="21"/>
              </w:rPr>
            </w:pPr>
            <w:r>
              <w:rPr>
                <w:rFonts w:asciiTheme="majorHAnsi" w:hAnsiTheme="majorHAnsi"/>
                <w:sz w:val="21"/>
                <w:szCs w:val="21"/>
              </w:rPr>
              <w:t>SPAN 2311</w:t>
            </w:r>
          </w:p>
        </w:tc>
        <w:tc>
          <w:tcPr>
            <w:tcW w:w="4230" w:type="dxa"/>
          </w:tcPr>
          <w:p w14:paraId="0C4317F0" w14:textId="0B36F191" w:rsidR="00275ED0" w:rsidRDefault="00CA4795" w:rsidP="000F4DBC">
            <w:pPr>
              <w:ind w:right="180"/>
              <w:rPr>
                <w:rFonts w:asciiTheme="majorHAnsi" w:hAnsiTheme="majorHAnsi"/>
                <w:sz w:val="21"/>
                <w:szCs w:val="21"/>
              </w:rPr>
            </w:pPr>
            <w:r>
              <w:rPr>
                <w:rFonts w:asciiTheme="majorHAnsi" w:hAnsiTheme="majorHAnsi"/>
                <w:sz w:val="21"/>
                <w:szCs w:val="21"/>
              </w:rPr>
              <w:t>SPAN 2310</w:t>
            </w:r>
          </w:p>
        </w:tc>
      </w:tr>
      <w:tr w:rsidR="00275ED0" w:rsidRPr="002975B6" w14:paraId="34381834" w14:textId="77777777" w:rsidTr="000F4DBC">
        <w:trPr>
          <w:trHeight w:val="265"/>
          <w:tblHeader/>
        </w:trPr>
        <w:tc>
          <w:tcPr>
            <w:tcW w:w="4662" w:type="dxa"/>
          </w:tcPr>
          <w:p w14:paraId="4FF74E66" w14:textId="34560DA8" w:rsidR="00275ED0" w:rsidRDefault="00CA4795" w:rsidP="000F4DBC">
            <w:pPr>
              <w:ind w:right="180"/>
              <w:rPr>
                <w:rFonts w:asciiTheme="majorHAnsi" w:hAnsiTheme="majorHAnsi"/>
                <w:sz w:val="21"/>
                <w:szCs w:val="21"/>
              </w:rPr>
            </w:pPr>
            <w:r>
              <w:rPr>
                <w:rFonts w:asciiTheme="majorHAnsi" w:hAnsiTheme="majorHAnsi"/>
                <w:sz w:val="21"/>
                <w:szCs w:val="21"/>
              </w:rPr>
              <w:t>SPAN 2312</w:t>
            </w:r>
          </w:p>
        </w:tc>
        <w:tc>
          <w:tcPr>
            <w:tcW w:w="4230" w:type="dxa"/>
          </w:tcPr>
          <w:p w14:paraId="5D878CF9" w14:textId="5221A369" w:rsidR="00275ED0" w:rsidRDefault="00CA4795" w:rsidP="000F4DBC">
            <w:pPr>
              <w:ind w:right="180"/>
              <w:rPr>
                <w:rFonts w:asciiTheme="majorHAnsi" w:hAnsiTheme="majorHAnsi"/>
                <w:sz w:val="21"/>
                <w:szCs w:val="21"/>
              </w:rPr>
            </w:pPr>
            <w:r>
              <w:rPr>
                <w:rFonts w:asciiTheme="majorHAnsi" w:hAnsiTheme="majorHAnsi"/>
                <w:sz w:val="21"/>
                <w:szCs w:val="21"/>
              </w:rPr>
              <w:t>SPAN 2320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DD032B">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DD032B"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75B6"/>
    <w:rsid w:val="00401089"/>
    <w:rsid w:val="00403514"/>
    <w:rsid w:val="004F0C1F"/>
    <w:rsid w:val="00541824"/>
    <w:rsid w:val="006B47FD"/>
    <w:rsid w:val="006D0F9F"/>
    <w:rsid w:val="0079457C"/>
    <w:rsid w:val="007B0025"/>
    <w:rsid w:val="00AC2F6F"/>
    <w:rsid w:val="00B16860"/>
    <w:rsid w:val="00B30C85"/>
    <w:rsid w:val="00B76511"/>
    <w:rsid w:val="00BC4F3C"/>
    <w:rsid w:val="00C13710"/>
    <w:rsid w:val="00C42CCF"/>
    <w:rsid w:val="00CA4795"/>
    <w:rsid w:val="00CC50B2"/>
    <w:rsid w:val="00D8504B"/>
    <w:rsid w:val="00DD032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2019-10-31T16:24:00Z</dcterms:created>
  <dcterms:modified xsi:type="dcterms:W3CDTF">2019-11-05T22:37:00Z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