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87F9" w14:textId="34694C89" w:rsidR="00B20D79" w:rsidRDefault="00B20D79" w:rsidP="00B20D79">
      <w:pPr>
        <w:tabs>
          <w:tab w:val="left" w:pos="540"/>
        </w:tabs>
        <w:spacing w:after="0" w:line="240" w:lineRule="auto"/>
      </w:pPr>
      <w:r>
        <w:t xml:space="preserve">To:  </w:t>
      </w:r>
      <w:r w:rsidR="00A67CFB">
        <w:t xml:space="preserve">All Judges and Court Personnel </w:t>
      </w:r>
    </w:p>
    <w:p w14:paraId="43BD35E9" w14:textId="4969BA1B" w:rsidR="00B20D79" w:rsidRDefault="00B20D79" w:rsidP="00A67CFB">
      <w:pPr>
        <w:spacing w:after="0" w:line="240" w:lineRule="auto"/>
        <w:ind w:left="450" w:hanging="450"/>
      </w:pPr>
      <w:r>
        <w:t xml:space="preserve"> </w:t>
      </w:r>
      <w:r>
        <w:tab/>
        <w:t xml:space="preserve"> </w:t>
      </w:r>
    </w:p>
    <w:p w14:paraId="712A8678" w14:textId="10596C31" w:rsidR="00B20D79" w:rsidRDefault="00B20D79" w:rsidP="00B20D79">
      <w:pPr>
        <w:tabs>
          <w:tab w:val="left" w:pos="540"/>
        </w:tabs>
        <w:spacing w:after="0" w:line="240" w:lineRule="auto"/>
      </w:pPr>
      <w:r>
        <w:t>Re:  Calculation of Post-Judgment Interest</w:t>
      </w:r>
    </w:p>
    <w:p w14:paraId="7CF0B90A" w14:textId="77777777" w:rsidR="00BE6194" w:rsidRDefault="00BE6194" w:rsidP="00B20D79">
      <w:pPr>
        <w:tabs>
          <w:tab w:val="left" w:pos="540"/>
        </w:tabs>
        <w:spacing w:after="0" w:line="240" w:lineRule="auto"/>
      </w:pPr>
    </w:p>
    <w:p w14:paraId="05230A1E" w14:textId="77777777" w:rsidR="00CD65FB" w:rsidRDefault="00A67CFB" w:rsidP="003918B1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In response to questions we received from you, we have reviewed </w:t>
      </w:r>
      <w:r w:rsidR="00CD65FB">
        <w:rPr>
          <w:rFonts w:cstheme="minorHAnsi"/>
        </w:rPr>
        <w:t xml:space="preserve">and revised </w:t>
      </w:r>
      <w:r>
        <w:rPr>
          <w:rFonts w:cstheme="minorHAnsi"/>
        </w:rPr>
        <w:t xml:space="preserve">our approach to how post-judgment interest should be calculated and applied in cases in justice court under Sections 304.001 – 304.003 of the Finance Code. </w:t>
      </w:r>
      <w:r w:rsidR="00CD65FB">
        <w:rPr>
          <w:rFonts w:cstheme="minorHAnsi"/>
        </w:rPr>
        <w:t xml:space="preserve">We think this updated approach will be easier to apply in the long run. </w:t>
      </w:r>
    </w:p>
    <w:p w14:paraId="58A00FB9" w14:textId="35103A07" w:rsidR="00A67CFB" w:rsidRDefault="00CD65FB" w:rsidP="003918B1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In order to assist you in calculating the correct post-judgment interest rate, we have provided below: (1) the language of the statute; (2) an explanation of how the statute works; and (3) how the statute applies in cases in justice court and </w:t>
      </w:r>
      <w:r w:rsidR="00081D02">
        <w:rPr>
          <w:rFonts w:cstheme="minorHAnsi"/>
        </w:rPr>
        <w:t xml:space="preserve">an order </w:t>
      </w:r>
      <w:r>
        <w:rPr>
          <w:rFonts w:cstheme="minorHAnsi"/>
        </w:rPr>
        <w:t xml:space="preserve">you may use to resolve any questions you have </w:t>
      </w:r>
      <w:r w:rsidR="00081D02">
        <w:rPr>
          <w:rFonts w:cstheme="minorHAnsi"/>
        </w:rPr>
        <w:t xml:space="preserve">about the post-judgment interest rate when you receive a motion for a default judgment or an agreed judgment that does not specify the post-judgment interest rate. </w:t>
      </w:r>
      <w:r>
        <w:rPr>
          <w:rFonts w:cstheme="minorHAnsi"/>
        </w:rPr>
        <w:t xml:space="preserve"> </w:t>
      </w:r>
    </w:p>
    <w:p w14:paraId="14D44EAF" w14:textId="046A1B2E" w:rsidR="00CD65FB" w:rsidRDefault="009A41CA" w:rsidP="003918B1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As usual please do not hesitate to contact us if you have any questions.  </w:t>
      </w:r>
      <w:r w:rsidR="00081D02">
        <w:rPr>
          <w:rFonts w:cstheme="minorHAnsi"/>
        </w:rPr>
        <w:t xml:space="preserve">We plan to conduct a webinar on this topic in December. So please stay tuned! </w:t>
      </w:r>
      <w:r>
        <w:rPr>
          <w:rFonts w:cstheme="minorHAnsi"/>
        </w:rPr>
        <w:t>Thank you!</w:t>
      </w:r>
    </w:p>
    <w:p w14:paraId="257289C3" w14:textId="7C73CC37" w:rsidR="009A41CA" w:rsidRPr="00F73741" w:rsidRDefault="009A41CA" w:rsidP="009A41CA">
      <w:pPr>
        <w:pStyle w:val="ListParagraph"/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F73741">
        <w:rPr>
          <w:rFonts w:cstheme="minorHAnsi"/>
          <w:b/>
          <w:bCs/>
          <w:u w:val="single"/>
        </w:rPr>
        <w:t xml:space="preserve">The </w:t>
      </w:r>
      <w:r>
        <w:rPr>
          <w:rFonts w:cstheme="minorHAnsi"/>
          <w:b/>
          <w:bCs/>
          <w:u w:val="single"/>
        </w:rPr>
        <w:t xml:space="preserve">Language of the </w:t>
      </w:r>
      <w:r w:rsidRPr="00F73741">
        <w:rPr>
          <w:rFonts w:cstheme="minorHAnsi"/>
          <w:b/>
          <w:bCs/>
          <w:u w:val="single"/>
        </w:rPr>
        <w:t>Statute</w:t>
      </w:r>
    </w:p>
    <w:p w14:paraId="361BC134" w14:textId="77777777" w:rsidR="009A41CA" w:rsidRDefault="009A41CA" w:rsidP="009A41CA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Section 304.001: “Interest Rate Required in Judgment. A </w:t>
      </w:r>
      <w:r w:rsidRPr="00756AE3">
        <w:rPr>
          <w:rFonts w:cstheme="minorHAnsi"/>
          <w:b/>
          <w:bCs/>
        </w:rPr>
        <w:t>money judgment</w:t>
      </w:r>
      <w:r>
        <w:rPr>
          <w:rFonts w:cstheme="minorHAnsi"/>
        </w:rPr>
        <w:t xml:space="preserve"> of a court in this state </w:t>
      </w:r>
      <w:r w:rsidRPr="00756AE3">
        <w:rPr>
          <w:rFonts w:cstheme="minorHAnsi"/>
          <w:b/>
          <w:bCs/>
        </w:rPr>
        <w:t>must specify the postjudgment interest rate applicable to that judgment</w:t>
      </w:r>
      <w:r>
        <w:rPr>
          <w:rFonts w:cstheme="minorHAnsi"/>
        </w:rPr>
        <w:t xml:space="preserve">.” </w:t>
      </w:r>
    </w:p>
    <w:p w14:paraId="61CFA6AE" w14:textId="77777777" w:rsidR="009A41CA" w:rsidRDefault="009A41CA" w:rsidP="009A41CA">
      <w:pPr>
        <w:ind w:firstLine="360"/>
        <w:jc w:val="both"/>
        <w:rPr>
          <w:rFonts w:cstheme="minorHAnsi"/>
        </w:rPr>
      </w:pPr>
      <w:r>
        <w:rPr>
          <w:rFonts w:cstheme="minorHAnsi"/>
        </w:rPr>
        <w:t>Section 304.002: “Judgment Interest Rate: Interest Rate or Time Price Differential</w:t>
      </w:r>
      <w:r w:rsidRPr="009B560F">
        <w:rPr>
          <w:rFonts w:cstheme="minorHAnsi"/>
          <w:b/>
          <w:bCs/>
        </w:rPr>
        <w:t xml:space="preserve"> in</w:t>
      </w:r>
      <w:r>
        <w:rPr>
          <w:rFonts w:cstheme="minorHAnsi"/>
          <w:b/>
          <w:bCs/>
        </w:rPr>
        <w:t xml:space="preserve"> Contract. </w:t>
      </w:r>
      <w:r>
        <w:rPr>
          <w:rFonts w:cstheme="minorHAnsi"/>
        </w:rPr>
        <w:t xml:space="preserve">A money judgment of a court of this state </w:t>
      </w:r>
      <w:r>
        <w:rPr>
          <w:rFonts w:cstheme="minorHAnsi"/>
          <w:b/>
          <w:bCs/>
        </w:rPr>
        <w:t xml:space="preserve">on a contract that provides for interest </w:t>
      </w:r>
      <w:r>
        <w:rPr>
          <w:rFonts w:cstheme="minorHAnsi"/>
        </w:rPr>
        <w:t xml:space="preserve">or time price differential earns postjudgment interest at a rate equal to the lesser of: (1) the rate specified in the contract, which may be a variable rate; or (2) 18 percent a year.”  </w:t>
      </w:r>
    </w:p>
    <w:p w14:paraId="763A434A" w14:textId="5BA24362" w:rsidR="009A41CA" w:rsidRDefault="009A41CA" w:rsidP="009A41CA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Section 304.003: “Judgment Interest Rate: Interest Rate or Time Price Differential </w:t>
      </w:r>
      <w:r>
        <w:rPr>
          <w:rFonts w:cstheme="minorHAnsi"/>
          <w:b/>
          <w:bCs/>
        </w:rPr>
        <w:t xml:space="preserve">Not in Contract. </w:t>
      </w:r>
      <w:r>
        <w:rPr>
          <w:rFonts w:cstheme="minorHAnsi"/>
        </w:rPr>
        <w:t>A money judgment of a court of this state to which Section 304.002 does not apply . . . earns postjudgment interest</w:t>
      </w:r>
      <w:r w:rsidR="00AA5C65">
        <w:rPr>
          <w:rFonts w:cstheme="minorHAnsi"/>
        </w:rPr>
        <w:t>” between 5% and 15% per year as set each month by the Consumer Credit Commissioner based on the prime rate published by the Federal Reserve</w:t>
      </w:r>
      <w:r>
        <w:rPr>
          <w:rFonts w:cstheme="minorHAnsi"/>
        </w:rPr>
        <w:t>.</w:t>
      </w:r>
      <w:r w:rsidR="00717231">
        <w:rPr>
          <w:rFonts w:cstheme="minorHAnsi"/>
        </w:rPr>
        <w:t xml:space="preserve"> </w:t>
      </w:r>
      <w:r w:rsidR="00D73FCC">
        <w:rPr>
          <w:rFonts w:cstheme="minorHAnsi"/>
        </w:rPr>
        <w:t>(</w:t>
      </w:r>
      <w:r w:rsidR="00717231">
        <w:rPr>
          <w:rFonts w:cstheme="minorHAnsi"/>
        </w:rPr>
        <w:t xml:space="preserve">We </w:t>
      </w:r>
      <w:r w:rsidR="00D73FCC">
        <w:rPr>
          <w:rFonts w:cstheme="minorHAnsi"/>
        </w:rPr>
        <w:t xml:space="preserve">may </w:t>
      </w:r>
      <w:r w:rsidR="00717231">
        <w:rPr>
          <w:rFonts w:cstheme="minorHAnsi"/>
        </w:rPr>
        <w:t>call this the “statutory post-judgment interest rate.”</w:t>
      </w:r>
      <w:r w:rsidR="00D73FCC">
        <w:rPr>
          <w:rFonts w:cstheme="minorHAnsi"/>
        </w:rPr>
        <w:t>)</w:t>
      </w:r>
      <w:r w:rsidR="00717231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</w:p>
    <w:p w14:paraId="30385A55" w14:textId="1E549FF0" w:rsidR="00F73741" w:rsidRPr="00F73741" w:rsidRDefault="00F73741" w:rsidP="00F73741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How Th</w:t>
      </w:r>
      <w:r w:rsidR="00BE6194">
        <w:rPr>
          <w:rFonts w:cstheme="minorHAnsi"/>
          <w:b/>
          <w:bCs/>
          <w:u w:val="single"/>
        </w:rPr>
        <w:t>e</w:t>
      </w:r>
      <w:r>
        <w:rPr>
          <w:rFonts w:cstheme="minorHAnsi"/>
          <w:b/>
          <w:bCs/>
          <w:u w:val="single"/>
        </w:rPr>
        <w:t xml:space="preserve"> Statute Works</w:t>
      </w:r>
    </w:p>
    <w:p w14:paraId="5B5B98D7" w14:textId="6AB9178D" w:rsidR="00060188" w:rsidRDefault="00A562D5" w:rsidP="003918B1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4D761D">
        <w:rPr>
          <w:rFonts w:cstheme="minorHAnsi"/>
        </w:rPr>
        <w:t xml:space="preserve">order to calculate the post-judgment interest rate on a money judgment under </w:t>
      </w:r>
      <w:r w:rsidR="00BE6194">
        <w:rPr>
          <w:rFonts w:cstheme="minorHAnsi"/>
        </w:rPr>
        <w:t xml:space="preserve">Sections 304.001 – 304.003, Finance Code, </w:t>
      </w:r>
      <w:r>
        <w:rPr>
          <w:rFonts w:cstheme="minorHAnsi"/>
        </w:rPr>
        <w:t xml:space="preserve">the </w:t>
      </w:r>
      <w:r w:rsidR="00BE6194">
        <w:rPr>
          <w:rFonts w:cstheme="minorHAnsi"/>
        </w:rPr>
        <w:t xml:space="preserve">court </w:t>
      </w:r>
      <w:r w:rsidR="00C415DE">
        <w:rPr>
          <w:rFonts w:cstheme="minorHAnsi"/>
        </w:rPr>
        <w:t xml:space="preserve">should </w:t>
      </w:r>
      <w:r w:rsidR="00BE6194">
        <w:rPr>
          <w:rFonts w:cstheme="minorHAnsi"/>
        </w:rPr>
        <w:t>ask the following questions</w:t>
      </w:r>
      <w:r>
        <w:rPr>
          <w:rFonts w:cstheme="minorHAnsi"/>
        </w:rPr>
        <w:t xml:space="preserve">:  </w:t>
      </w:r>
    </w:p>
    <w:p w14:paraId="4D483E98" w14:textId="2CE1F05A" w:rsidR="00A562D5" w:rsidRDefault="00A562D5" w:rsidP="00A673C6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562D5">
        <w:rPr>
          <w:rFonts w:cstheme="minorHAnsi"/>
        </w:rPr>
        <w:t xml:space="preserve">Is the judgment a “money judgment . . . </w:t>
      </w:r>
      <w:r w:rsidRPr="004D761D">
        <w:rPr>
          <w:rFonts w:cstheme="minorHAnsi"/>
          <w:b/>
          <w:bCs/>
        </w:rPr>
        <w:t>on a contract</w:t>
      </w:r>
      <w:r>
        <w:rPr>
          <w:rFonts w:cstheme="minorHAnsi"/>
        </w:rPr>
        <w:t>?”</w:t>
      </w:r>
    </w:p>
    <w:p w14:paraId="72CE668A" w14:textId="77777777" w:rsidR="004D761D" w:rsidRDefault="004D761D" w:rsidP="004D761D">
      <w:pPr>
        <w:pStyle w:val="ListParagraph"/>
        <w:jc w:val="both"/>
        <w:rPr>
          <w:rFonts w:cstheme="minorHAnsi"/>
        </w:rPr>
      </w:pPr>
    </w:p>
    <w:p w14:paraId="71053F27" w14:textId="65567B90" w:rsidR="004D761D" w:rsidRDefault="004D761D" w:rsidP="00AA0673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4D761D">
        <w:rPr>
          <w:rFonts w:cstheme="minorHAnsi"/>
        </w:rPr>
        <w:t xml:space="preserve">If the answer to this question is </w:t>
      </w:r>
      <w:r w:rsidRPr="00AA5C65">
        <w:rPr>
          <w:rFonts w:cstheme="minorHAnsi"/>
          <w:b/>
          <w:bCs/>
        </w:rPr>
        <w:t>no</w:t>
      </w:r>
      <w:r w:rsidRPr="004D761D">
        <w:rPr>
          <w:rFonts w:cstheme="minorHAnsi"/>
        </w:rPr>
        <w:t xml:space="preserve">, then </w:t>
      </w:r>
      <w:r w:rsidR="00A562D5" w:rsidRPr="004D761D">
        <w:rPr>
          <w:rFonts w:cstheme="minorHAnsi"/>
        </w:rPr>
        <w:t xml:space="preserve">the statutory post-judgment interest rate </w:t>
      </w:r>
      <w:r w:rsidR="00AA5C65">
        <w:rPr>
          <w:rFonts w:cstheme="minorHAnsi"/>
        </w:rPr>
        <w:t xml:space="preserve">under Section 304.003 </w:t>
      </w:r>
      <w:r w:rsidR="00A562D5" w:rsidRPr="004D761D">
        <w:rPr>
          <w:rFonts w:cstheme="minorHAnsi"/>
        </w:rPr>
        <w:t xml:space="preserve">(currently 5%) applies. An example of this would be a personal injury case </w:t>
      </w:r>
      <w:r w:rsidR="009A41CA">
        <w:rPr>
          <w:rFonts w:cstheme="minorHAnsi"/>
        </w:rPr>
        <w:t>(like a slip and fall case</w:t>
      </w:r>
      <w:r w:rsidR="00AA5C65">
        <w:rPr>
          <w:rFonts w:cstheme="minorHAnsi"/>
        </w:rPr>
        <w:t xml:space="preserve">) </w:t>
      </w:r>
      <w:r w:rsidR="00A562D5" w:rsidRPr="004D761D">
        <w:rPr>
          <w:rFonts w:cstheme="minorHAnsi"/>
        </w:rPr>
        <w:t xml:space="preserve">which is not a suit on a contract. </w:t>
      </w:r>
    </w:p>
    <w:p w14:paraId="15586E2B" w14:textId="77777777" w:rsidR="004D761D" w:rsidRDefault="004D761D" w:rsidP="004D761D">
      <w:pPr>
        <w:pStyle w:val="ListParagraph"/>
        <w:ind w:left="1440"/>
        <w:jc w:val="both"/>
        <w:rPr>
          <w:rFonts w:cstheme="minorHAnsi"/>
        </w:rPr>
      </w:pPr>
    </w:p>
    <w:p w14:paraId="6516CA68" w14:textId="708ABCF8" w:rsidR="004D761D" w:rsidRPr="004D761D" w:rsidRDefault="004D761D" w:rsidP="00AA0673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If the answer to this question is </w:t>
      </w:r>
      <w:r w:rsidRPr="00717231">
        <w:rPr>
          <w:rFonts w:cstheme="minorHAnsi"/>
          <w:b/>
          <w:bCs/>
        </w:rPr>
        <w:t>yes</w:t>
      </w:r>
      <w:r>
        <w:rPr>
          <w:rFonts w:cstheme="minorHAnsi"/>
        </w:rPr>
        <w:t>, go to the next question.</w:t>
      </w:r>
    </w:p>
    <w:p w14:paraId="07C3EC59" w14:textId="77777777" w:rsidR="00A562D5" w:rsidRDefault="00A562D5" w:rsidP="00A562D5">
      <w:pPr>
        <w:pStyle w:val="ListParagraph"/>
        <w:jc w:val="both"/>
        <w:rPr>
          <w:rFonts w:cstheme="minorHAnsi"/>
        </w:rPr>
      </w:pPr>
    </w:p>
    <w:p w14:paraId="01EF68AA" w14:textId="3F5DC284" w:rsidR="00A562D5" w:rsidRDefault="004D761D" w:rsidP="00A673C6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Does </w:t>
      </w:r>
      <w:r w:rsidR="00A562D5">
        <w:rPr>
          <w:rFonts w:cstheme="minorHAnsi"/>
        </w:rPr>
        <w:t>the contract on which the suit was brought</w:t>
      </w:r>
      <w:r w:rsidR="00137CD5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A562D5" w:rsidRPr="00A562D5">
        <w:rPr>
          <w:rFonts w:cstheme="minorHAnsi"/>
        </w:rPr>
        <w:t xml:space="preserve">provide for interest or </w:t>
      </w:r>
      <w:r>
        <w:rPr>
          <w:rFonts w:cstheme="minorHAnsi"/>
        </w:rPr>
        <w:t>[</w:t>
      </w:r>
      <w:r w:rsidR="00A562D5" w:rsidRPr="00A562D5">
        <w:rPr>
          <w:rFonts w:cstheme="minorHAnsi"/>
        </w:rPr>
        <w:t>a</w:t>
      </w:r>
      <w:r>
        <w:rPr>
          <w:rFonts w:cstheme="minorHAnsi"/>
        </w:rPr>
        <w:t>]</w:t>
      </w:r>
      <w:r w:rsidR="00A562D5" w:rsidRPr="00A562D5">
        <w:rPr>
          <w:rFonts w:cstheme="minorHAnsi"/>
        </w:rPr>
        <w:t xml:space="preserve"> time price differential</w:t>
      </w:r>
      <w:r>
        <w:rPr>
          <w:rFonts w:cstheme="minorHAnsi"/>
        </w:rPr>
        <w:t>?”</w:t>
      </w:r>
    </w:p>
    <w:p w14:paraId="0AFC0DB6" w14:textId="77777777" w:rsidR="00E77257" w:rsidRDefault="00E77257" w:rsidP="00E77257">
      <w:pPr>
        <w:pStyle w:val="ListParagraph"/>
        <w:jc w:val="both"/>
        <w:rPr>
          <w:rFonts w:cstheme="minorHAnsi"/>
        </w:rPr>
      </w:pPr>
    </w:p>
    <w:p w14:paraId="1BD2145D" w14:textId="74C33660" w:rsidR="00137CD5" w:rsidRPr="001330D9" w:rsidRDefault="00137CD5" w:rsidP="001330D9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1330D9">
        <w:rPr>
          <w:rFonts w:cstheme="minorHAnsi"/>
        </w:rPr>
        <w:lastRenderedPageBreak/>
        <w:t xml:space="preserve">If the answer to this question is </w:t>
      </w:r>
      <w:r w:rsidRPr="001811A5">
        <w:rPr>
          <w:rFonts w:cstheme="minorHAnsi"/>
          <w:b/>
          <w:bCs/>
        </w:rPr>
        <w:t>no</w:t>
      </w:r>
      <w:r w:rsidRPr="001330D9">
        <w:rPr>
          <w:rFonts w:cstheme="minorHAnsi"/>
        </w:rPr>
        <w:t>, then the statutory post-judgment interest rate</w:t>
      </w:r>
      <w:r w:rsidR="001811A5" w:rsidRPr="001811A5">
        <w:rPr>
          <w:rFonts w:cstheme="minorHAnsi"/>
        </w:rPr>
        <w:t xml:space="preserve"> </w:t>
      </w:r>
      <w:r w:rsidR="001811A5">
        <w:rPr>
          <w:rFonts w:cstheme="minorHAnsi"/>
        </w:rPr>
        <w:t xml:space="preserve">under Section 304.003 </w:t>
      </w:r>
      <w:r w:rsidR="001811A5" w:rsidRPr="004D761D">
        <w:rPr>
          <w:rFonts w:cstheme="minorHAnsi"/>
        </w:rPr>
        <w:t xml:space="preserve">(currently 5%) </w:t>
      </w:r>
      <w:r w:rsidRPr="001330D9">
        <w:rPr>
          <w:rFonts w:cstheme="minorHAnsi"/>
        </w:rPr>
        <w:t>applies. An example of this would be a suit to recover unpaid medical bills which is a suit on a contract but one that does not provide for interest or a time price differential.</w:t>
      </w:r>
    </w:p>
    <w:p w14:paraId="6DD6865A" w14:textId="77777777" w:rsidR="00137CD5" w:rsidRPr="00137CD5" w:rsidRDefault="00137CD5" w:rsidP="00137CD5">
      <w:pPr>
        <w:pStyle w:val="ListParagraph"/>
        <w:rPr>
          <w:rFonts w:cstheme="minorHAnsi"/>
        </w:rPr>
      </w:pPr>
    </w:p>
    <w:p w14:paraId="6EE34600" w14:textId="4DCFD90C" w:rsidR="00D42395" w:rsidRDefault="00137CD5" w:rsidP="00D42395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If the answer to this question is </w:t>
      </w:r>
      <w:r w:rsidRPr="00364B1E">
        <w:rPr>
          <w:rFonts w:cstheme="minorHAnsi"/>
          <w:b/>
          <w:bCs/>
        </w:rPr>
        <w:t>yes</w:t>
      </w:r>
      <w:r>
        <w:rPr>
          <w:rFonts w:cstheme="minorHAnsi"/>
        </w:rPr>
        <w:t xml:space="preserve">, then </w:t>
      </w:r>
      <w:r w:rsidR="00D42395">
        <w:rPr>
          <w:rFonts w:cstheme="minorHAnsi"/>
        </w:rPr>
        <w:t>go to the next question.</w:t>
      </w:r>
    </w:p>
    <w:p w14:paraId="0EF83F20" w14:textId="77777777" w:rsidR="00D42395" w:rsidRPr="00D42395" w:rsidRDefault="00D42395" w:rsidP="00D42395">
      <w:pPr>
        <w:pStyle w:val="ListParagraph"/>
        <w:rPr>
          <w:rFonts w:cstheme="minorHAnsi"/>
        </w:rPr>
      </w:pPr>
    </w:p>
    <w:p w14:paraId="62B68A63" w14:textId="45B065C3" w:rsidR="00D42395" w:rsidRDefault="00D42395" w:rsidP="00D42395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137CD5" w:rsidRPr="00D42395">
        <w:rPr>
          <w:rFonts w:cstheme="minorHAnsi"/>
        </w:rPr>
        <w:t xml:space="preserve">hat is the interest rate or time price differential </w:t>
      </w:r>
      <w:r w:rsidR="00EF7625">
        <w:rPr>
          <w:rFonts w:cstheme="minorHAnsi"/>
        </w:rPr>
        <w:t>i</w:t>
      </w:r>
      <w:r>
        <w:rPr>
          <w:rFonts w:cstheme="minorHAnsi"/>
        </w:rPr>
        <w:t>n</w:t>
      </w:r>
      <w:r w:rsidR="00137CD5" w:rsidRPr="00D42395">
        <w:rPr>
          <w:rFonts w:cstheme="minorHAnsi"/>
        </w:rPr>
        <w:t xml:space="preserve"> the contract</w:t>
      </w:r>
      <w:r>
        <w:rPr>
          <w:rFonts w:cstheme="minorHAnsi"/>
        </w:rPr>
        <w:t xml:space="preserve"> on which the suit was brought?</w:t>
      </w:r>
    </w:p>
    <w:p w14:paraId="6848F3DB" w14:textId="77777777" w:rsidR="00D42395" w:rsidRDefault="00D42395" w:rsidP="00D42395">
      <w:pPr>
        <w:pStyle w:val="ListParagraph"/>
        <w:jc w:val="both"/>
        <w:rPr>
          <w:rFonts w:cstheme="minorHAnsi"/>
        </w:rPr>
      </w:pPr>
    </w:p>
    <w:p w14:paraId="261AD127" w14:textId="1B3CCD6C" w:rsidR="00137CD5" w:rsidRDefault="00137CD5" w:rsidP="00D42395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 w:rsidRPr="00D42395">
        <w:rPr>
          <w:rFonts w:cstheme="minorHAnsi"/>
        </w:rPr>
        <w:t>If it is more than 18%, then the post-judgment interest rate is 18%; if it is les</w:t>
      </w:r>
      <w:r w:rsidR="00EF7625">
        <w:rPr>
          <w:rFonts w:cstheme="minorHAnsi"/>
        </w:rPr>
        <w:t>s</w:t>
      </w:r>
      <w:r w:rsidRPr="00D42395">
        <w:rPr>
          <w:rFonts w:cstheme="minorHAnsi"/>
        </w:rPr>
        <w:t xml:space="preserve"> than 18%, then the post-judgment interest rate is </w:t>
      </w:r>
      <w:r w:rsidR="00D42395">
        <w:rPr>
          <w:rFonts w:cstheme="minorHAnsi"/>
        </w:rPr>
        <w:t>the rate specified in the contract.</w:t>
      </w:r>
    </w:p>
    <w:p w14:paraId="3BCA4E2B" w14:textId="5B25A043" w:rsidR="00D42395" w:rsidRDefault="00D42395" w:rsidP="00D42395">
      <w:pPr>
        <w:pStyle w:val="ListParagraph"/>
        <w:ind w:left="1440"/>
        <w:jc w:val="both"/>
        <w:rPr>
          <w:rFonts w:cstheme="minorHAnsi"/>
        </w:rPr>
      </w:pPr>
    </w:p>
    <w:p w14:paraId="064AB9CA" w14:textId="3BF53AB3" w:rsidR="00575D32" w:rsidRPr="00575D32" w:rsidRDefault="00575D32" w:rsidP="00575D32">
      <w:pPr>
        <w:pStyle w:val="ListParagraph"/>
        <w:numPr>
          <w:ilvl w:val="0"/>
          <w:numId w:val="12"/>
        </w:numPr>
        <w:jc w:val="both"/>
        <w:rPr>
          <w:rFonts w:cstheme="minorHAnsi"/>
          <w:u w:val="single"/>
        </w:rPr>
      </w:pPr>
      <w:r w:rsidRPr="00575D32">
        <w:rPr>
          <w:rFonts w:cstheme="minorHAnsi"/>
          <w:b/>
          <w:bCs/>
          <w:u w:val="single"/>
        </w:rPr>
        <w:t>How the Statute Applies to Specific Situations in our Courts</w:t>
      </w:r>
    </w:p>
    <w:p w14:paraId="23885EFD" w14:textId="19279FD4" w:rsidR="003C6804" w:rsidRPr="003C6804" w:rsidRDefault="003C6804" w:rsidP="003C6804">
      <w:pPr>
        <w:ind w:left="360"/>
        <w:jc w:val="both"/>
        <w:rPr>
          <w:rFonts w:cstheme="minorHAnsi"/>
        </w:rPr>
      </w:pPr>
      <w:r>
        <w:rPr>
          <w:rFonts w:cstheme="minorHAnsi"/>
        </w:rPr>
        <w:t>The following scenarios apply to a judgment following a trial:</w:t>
      </w:r>
    </w:p>
    <w:p w14:paraId="0020B9F4" w14:textId="1720D818" w:rsidR="00B84122" w:rsidRDefault="007036CB" w:rsidP="00DD07FB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EC20D0">
        <w:rPr>
          <w:rFonts w:cstheme="minorHAnsi"/>
          <w:b/>
          <w:bCs/>
        </w:rPr>
        <w:t xml:space="preserve">Judgment after </w:t>
      </w:r>
      <w:r w:rsidR="00B84122" w:rsidRPr="00EC20D0">
        <w:rPr>
          <w:rFonts w:cstheme="minorHAnsi"/>
          <w:b/>
          <w:bCs/>
        </w:rPr>
        <w:t>t</w:t>
      </w:r>
      <w:r w:rsidRPr="00EC20D0">
        <w:rPr>
          <w:rFonts w:cstheme="minorHAnsi"/>
          <w:b/>
          <w:bCs/>
        </w:rPr>
        <w:t>rial</w:t>
      </w:r>
      <w:r w:rsidRPr="00EC20D0">
        <w:rPr>
          <w:rFonts w:cstheme="minorHAnsi"/>
        </w:rPr>
        <w:t xml:space="preserve">: </w:t>
      </w:r>
      <w:r w:rsidR="00706FC0">
        <w:rPr>
          <w:rFonts w:cstheme="minorHAnsi"/>
        </w:rPr>
        <w:t xml:space="preserve">the </w:t>
      </w:r>
      <w:r w:rsidR="00B84122" w:rsidRPr="00EC20D0">
        <w:rPr>
          <w:rFonts w:cstheme="minorHAnsi"/>
        </w:rPr>
        <w:t>c</w:t>
      </w:r>
      <w:r w:rsidRPr="00EC20D0">
        <w:rPr>
          <w:rFonts w:cstheme="minorHAnsi"/>
        </w:rPr>
        <w:t xml:space="preserve">ourt </w:t>
      </w:r>
      <w:r w:rsidR="00B84122" w:rsidRPr="00EC20D0">
        <w:rPr>
          <w:rFonts w:cstheme="minorHAnsi"/>
        </w:rPr>
        <w:t xml:space="preserve">answers questions (1) – (3) above. </w:t>
      </w:r>
      <w:r w:rsidR="00EF7625" w:rsidRPr="00EC20D0">
        <w:rPr>
          <w:rFonts w:cstheme="minorHAnsi"/>
        </w:rPr>
        <w:t>If it is not a suit on a contract, or it is a suit on a contract that does not provide for interest, then the court would enter the statutory rate</w:t>
      </w:r>
      <w:r w:rsidR="00706FC0">
        <w:rPr>
          <w:rFonts w:cstheme="minorHAnsi"/>
        </w:rPr>
        <w:t xml:space="preserve"> (currently 5%)</w:t>
      </w:r>
      <w:r w:rsidR="00EF7625" w:rsidRPr="00EC20D0">
        <w:rPr>
          <w:rFonts w:cstheme="minorHAnsi"/>
        </w:rPr>
        <w:t xml:space="preserve">. </w:t>
      </w:r>
      <w:r w:rsidR="00B84122" w:rsidRPr="00EC20D0">
        <w:rPr>
          <w:rFonts w:cstheme="minorHAnsi"/>
        </w:rPr>
        <w:t xml:space="preserve"> If it is a suit on a contract that provides for interest</w:t>
      </w:r>
      <w:r w:rsidR="00AD0618">
        <w:rPr>
          <w:rFonts w:cstheme="minorHAnsi"/>
        </w:rPr>
        <w:t xml:space="preserve">, then the court applies the contract interest rate or 18%, whichever is less. If </w:t>
      </w:r>
      <w:r w:rsidR="00B84122" w:rsidRPr="00EC20D0">
        <w:rPr>
          <w:rFonts w:cstheme="minorHAnsi"/>
        </w:rPr>
        <w:t xml:space="preserve">the parties did not submit evidence of the interest rate in the contact, then the court </w:t>
      </w:r>
      <w:r w:rsidR="00C87CC0">
        <w:rPr>
          <w:rFonts w:cstheme="minorHAnsi"/>
        </w:rPr>
        <w:t>c</w:t>
      </w:r>
      <w:r w:rsidR="00B84122" w:rsidRPr="00EC20D0">
        <w:rPr>
          <w:rFonts w:cstheme="minorHAnsi"/>
        </w:rPr>
        <w:t>ould</w:t>
      </w:r>
      <w:r w:rsidR="00BE6194" w:rsidRPr="00EC20D0">
        <w:rPr>
          <w:rFonts w:cstheme="minorHAnsi"/>
        </w:rPr>
        <w:t xml:space="preserve"> </w:t>
      </w:r>
      <w:r w:rsidR="00B84122" w:rsidRPr="00EC20D0">
        <w:rPr>
          <w:rFonts w:cstheme="minorHAnsi"/>
        </w:rPr>
        <w:t>ask the parties to submit evidence on that issue or stipulate to the interest rate provided in the contract.</w:t>
      </w:r>
      <w:r w:rsidR="00F00A9B" w:rsidRPr="00EC20D0">
        <w:rPr>
          <w:rFonts w:cstheme="minorHAnsi"/>
        </w:rPr>
        <w:t xml:space="preserve"> </w:t>
      </w:r>
    </w:p>
    <w:p w14:paraId="125FC076" w14:textId="77777777" w:rsidR="00EC20D0" w:rsidRPr="00EC20D0" w:rsidRDefault="00EC20D0" w:rsidP="00EC20D0">
      <w:pPr>
        <w:pStyle w:val="ListParagraph"/>
        <w:jc w:val="both"/>
        <w:rPr>
          <w:rFonts w:cstheme="minorHAnsi"/>
        </w:rPr>
      </w:pPr>
    </w:p>
    <w:p w14:paraId="01805878" w14:textId="229B65D5" w:rsidR="0065588B" w:rsidRDefault="0065588B" w:rsidP="00B84122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E6194">
        <w:rPr>
          <w:rFonts w:cstheme="minorHAnsi"/>
          <w:b/>
          <w:bCs/>
        </w:rPr>
        <w:t xml:space="preserve">Judgment after </w:t>
      </w:r>
      <w:r w:rsidR="00B84122" w:rsidRPr="00BE6194">
        <w:rPr>
          <w:rFonts w:cstheme="minorHAnsi"/>
          <w:b/>
          <w:bCs/>
        </w:rPr>
        <w:t>t</w:t>
      </w:r>
      <w:r w:rsidRPr="00BE6194">
        <w:rPr>
          <w:rFonts w:cstheme="minorHAnsi"/>
          <w:b/>
          <w:bCs/>
        </w:rPr>
        <w:t xml:space="preserve">rial but </w:t>
      </w:r>
      <w:r w:rsidR="00B84122" w:rsidRPr="00BE6194">
        <w:rPr>
          <w:rFonts w:cstheme="minorHAnsi"/>
          <w:b/>
          <w:bCs/>
        </w:rPr>
        <w:t>p</w:t>
      </w:r>
      <w:r w:rsidRPr="00BE6194">
        <w:rPr>
          <w:rFonts w:cstheme="minorHAnsi"/>
          <w:b/>
          <w:bCs/>
        </w:rPr>
        <w:t xml:space="preserve">laintiff </w:t>
      </w:r>
      <w:r w:rsidR="00B84122" w:rsidRPr="00BE6194">
        <w:rPr>
          <w:rFonts w:cstheme="minorHAnsi"/>
          <w:b/>
          <w:bCs/>
        </w:rPr>
        <w:t>w</w:t>
      </w:r>
      <w:r w:rsidRPr="00BE6194">
        <w:rPr>
          <w:rFonts w:cstheme="minorHAnsi"/>
          <w:b/>
          <w:bCs/>
        </w:rPr>
        <w:t xml:space="preserve">aives </w:t>
      </w:r>
      <w:r w:rsidR="00B84122" w:rsidRPr="00BE6194">
        <w:rPr>
          <w:rFonts w:cstheme="minorHAnsi"/>
          <w:b/>
          <w:bCs/>
        </w:rPr>
        <w:t>p</w:t>
      </w:r>
      <w:r w:rsidRPr="00BE6194">
        <w:rPr>
          <w:rFonts w:cstheme="minorHAnsi"/>
          <w:b/>
          <w:bCs/>
        </w:rPr>
        <w:t xml:space="preserve">ost-judgment </w:t>
      </w:r>
      <w:r w:rsidR="00B84122" w:rsidRPr="00BE6194">
        <w:rPr>
          <w:rFonts w:cstheme="minorHAnsi"/>
          <w:b/>
          <w:bCs/>
        </w:rPr>
        <w:t>i</w:t>
      </w:r>
      <w:r w:rsidRPr="00BE6194">
        <w:rPr>
          <w:rFonts w:cstheme="minorHAnsi"/>
          <w:b/>
          <w:bCs/>
        </w:rPr>
        <w:t>nterest</w:t>
      </w:r>
      <w:r w:rsidRPr="00B84122">
        <w:rPr>
          <w:rFonts w:cstheme="minorHAnsi"/>
        </w:rPr>
        <w:t>:</w:t>
      </w:r>
      <w:r w:rsidR="00B84122">
        <w:rPr>
          <w:rFonts w:cstheme="minorHAnsi"/>
        </w:rPr>
        <w:t xml:space="preserve"> </w:t>
      </w:r>
      <w:r w:rsidR="00706FC0">
        <w:rPr>
          <w:rFonts w:cstheme="minorHAnsi"/>
        </w:rPr>
        <w:t xml:space="preserve">the </w:t>
      </w:r>
      <w:r w:rsidR="00B84122">
        <w:rPr>
          <w:rFonts w:cstheme="minorHAnsi"/>
        </w:rPr>
        <w:t>c</w:t>
      </w:r>
      <w:r w:rsidRPr="00B84122">
        <w:rPr>
          <w:rFonts w:cstheme="minorHAnsi"/>
        </w:rPr>
        <w:t xml:space="preserve">ourt accepts </w:t>
      </w:r>
      <w:r w:rsidR="00706FC0">
        <w:rPr>
          <w:rFonts w:cstheme="minorHAnsi"/>
        </w:rPr>
        <w:t xml:space="preserve">the </w:t>
      </w:r>
      <w:r w:rsidRPr="00B84122">
        <w:rPr>
          <w:rFonts w:cstheme="minorHAnsi"/>
        </w:rPr>
        <w:t xml:space="preserve">waiver and specifies zero as </w:t>
      </w:r>
      <w:r w:rsidR="00706FC0">
        <w:rPr>
          <w:rFonts w:cstheme="minorHAnsi"/>
        </w:rPr>
        <w:t xml:space="preserve">the </w:t>
      </w:r>
      <w:r w:rsidRPr="00B84122">
        <w:rPr>
          <w:rFonts w:cstheme="minorHAnsi"/>
        </w:rPr>
        <w:t xml:space="preserve">post-judgment </w:t>
      </w:r>
      <w:r w:rsidR="00F00A9B">
        <w:rPr>
          <w:rFonts w:cstheme="minorHAnsi"/>
        </w:rPr>
        <w:t xml:space="preserve">interest </w:t>
      </w:r>
      <w:r w:rsidRPr="00B84122">
        <w:rPr>
          <w:rFonts w:cstheme="minorHAnsi"/>
        </w:rPr>
        <w:t>rate.</w:t>
      </w:r>
    </w:p>
    <w:p w14:paraId="5B6FEA76" w14:textId="77777777" w:rsidR="00236D7B" w:rsidRPr="00236D7B" w:rsidRDefault="00236D7B" w:rsidP="00236D7B">
      <w:pPr>
        <w:pStyle w:val="ListParagraph"/>
        <w:rPr>
          <w:rFonts w:cstheme="minorHAnsi"/>
        </w:rPr>
      </w:pPr>
    </w:p>
    <w:p w14:paraId="0AD6F3C9" w14:textId="2FAFA1D7" w:rsidR="0097794D" w:rsidRPr="00B84122" w:rsidRDefault="00CF462C" w:rsidP="0097794D">
      <w:pPr>
        <w:ind w:left="360"/>
        <w:jc w:val="both"/>
        <w:rPr>
          <w:rFonts w:cstheme="minorHAnsi"/>
        </w:rPr>
      </w:pPr>
      <w:r>
        <w:rPr>
          <w:rFonts w:cstheme="minorHAnsi"/>
        </w:rPr>
        <w:t>The following scenarios apply</w:t>
      </w:r>
      <w:r w:rsidR="0097794D">
        <w:rPr>
          <w:rFonts w:cstheme="minorHAnsi"/>
        </w:rPr>
        <w:t xml:space="preserve"> to a default judgment:</w:t>
      </w:r>
      <w:r w:rsidR="007A0EC5">
        <w:rPr>
          <w:rFonts w:cstheme="minorHAnsi"/>
        </w:rPr>
        <w:t xml:space="preserve"> </w:t>
      </w:r>
    </w:p>
    <w:p w14:paraId="7353105A" w14:textId="5D1A9FA3" w:rsidR="0097794D" w:rsidRPr="00B84122" w:rsidRDefault="0097794D" w:rsidP="0097794D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E6194">
        <w:rPr>
          <w:rFonts w:cstheme="minorHAnsi"/>
          <w:b/>
          <w:bCs/>
        </w:rPr>
        <w:t xml:space="preserve">Default judgment where plaintiff </w:t>
      </w:r>
      <w:r w:rsidR="00AD0618">
        <w:rPr>
          <w:rFonts w:cstheme="minorHAnsi"/>
          <w:b/>
          <w:bCs/>
        </w:rPr>
        <w:t xml:space="preserve">submits a proposed default judgment that </w:t>
      </w:r>
      <w:r w:rsidRPr="00BE6194">
        <w:rPr>
          <w:rFonts w:cstheme="minorHAnsi"/>
          <w:b/>
          <w:bCs/>
        </w:rPr>
        <w:t xml:space="preserve">waives post-judgment interest and </w:t>
      </w:r>
      <w:r w:rsidR="00AD0618">
        <w:rPr>
          <w:rFonts w:cstheme="minorHAnsi"/>
          <w:b/>
          <w:bCs/>
        </w:rPr>
        <w:t xml:space="preserve">specifies </w:t>
      </w:r>
      <w:r w:rsidRPr="00BE6194">
        <w:rPr>
          <w:rFonts w:cstheme="minorHAnsi"/>
          <w:b/>
          <w:bCs/>
        </w:rPr>
        <w:t>zero as rate</w:t>
      </w:r>
      <w:r w:rsidRPr="00B84122">
        <w:rPr>
          <w:rFonts w:cstheme="minorHAnsi"/>
        </w:rPr>
        <w:t>:</w:t>
      </w:r>
      <w:r>
        <w:rPr>
          <w:rFonts w:cstheme="minorHAnsi"/>
        </w:rPr>
        <w:t xml:space="preserve"> the c</w:t>
      </w:r>
      <w:r w:rsidRPr="00B84122">
        <w:rPr>
          <w:rFonts w:cstheme="minorHAnsi"/>
        </w:rPr>
        <w:t xml:space="preserve">ourt accepts </w:t>
      </w:r>
      <w:r>
        <w:rPr>
          <w:rFonts w:cstheme="minorHAnsi"/>
        </w:rPr>
        <w:t xml:space="preserve">the </w:t>
      </w:r>
      <w:r w:rsidRPr="00B84122">
        <w:rPr>
          <w:rFonts w:cstheme="minorHAnsi"/>
        </w:rPr>
        <w:t xml:space="preserve">waiver and specifies zero as </w:t>
      </w:r>
      <w:r>
        <w:rPr>
          <w:rFonts w:cstheme="minorHAnsi"/>
        </w:rPr>
        <w:t xml:space="preserve">the </w:t>
      </w:r>
      <w:r w:rsidRPr="00B84122">
        <w:rPr>
          <w:rFonts w:cstheme="minorHAnsi"/>
        </w:rPr>
        <w:t xml:space="preserve">post-judgment </w:t>
      </w:r>
      <w:r>
        <w:rPr>
          <w:rFonts w:cstheme="minorHAnsi"/>
        </w:rPr>
        <w:t xml:space="preserve">interest </w:t>
      </w:r>
      <w:r w:rsidRPr="00B84122">
        <w:rPr>
          <w:rFonts w:cstheme="minorHAnsi"/>
        </w:rPr>
        <w:t>rate.</w:t>
      </w:r>
    </w:p>
    <w:p w14:paraId="54A73E96" w14:textId="77777777" w:rsidR="0097794D" w:rsidRDefault="0097794D" w:rsidP="0097794D">
      <w:pPr>
        <w:pStyle w:val="ListParagraph"/>
        <w:ind w:left="1440"/>
        <w:rPr>
          <w:rFonts w:cstheme="minorHAnsi"/>
        </w:rPr>
      </w:pPr>
    </w:p>
    <w:p w14:paraId="2F18DDEE" w14:textId="20D10C5C" w:rsidR="0097794D" w:rsidRDefault="0097794D" w:rsidP="0097794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E6194">
        <w:rPr>
          <w:rFonts w:cstheme="minorHAnsi"/>
          <w:b/>
          <w:bCs/>
        </w:rPr>
        <w:t xml:space="preserve">Default judgment where plaintiff </w:t>
      </w:r>
      <w:r w:rsidR="00AD0618">
        <w:rPr>
          <w:rFonts w:cstheme="minorHAnsi"/>
          <w:b/>
          <w:bCs/>
        </w:rPr>
        <w:t xml:space="preserve">submits a proposed default judgment but </w:t>
      </w:r>
      <w:r w:rsidRPr="00BE6194">
        <w:rPr>
          <w:rFonts w:cstheme="minorHAnsi"/>
          <w:b/>
          <w:bCs/>
        </w:rPr>
        <w:t>leaves post-judgment interest rate blank</w:t>
      </w:r>
      <w:r w:rsidRPr="00BE6194">
        <w:rPr>
          <w:rFonts w:cstheme="minorHAnsi"/>
        </w:rPr>
        <w:t xml:space="preserve">: </w:t>
      </w:r>
      <w:r>
        <w:rPr>
          <w:rFonts w:cstheme="minorHAnsi"/>
        </w:rPr>
        <w:t xml:space="preserve">the </w:t>
      </w:r>
      <w:r w:rsidRPr="00BE6194">
        <w:rPr>
          <w:rFonts w:cstheme="minorHAnsi"/>
        </w:rPr>
        <w:t xml:space="preserve">court sends </w:t>
      </w:r>
      <w:r>
        <w:rPr>
          <w:rFonts w:cstheme="minorHAnsi"/>
        </w:rPr>
        <w:t xml:space="preserve">the </w:t>
      </w:r>
      <w:r w:rsidRPr="00BE6194">
        <w:rPr>
          <w:rFonts w:cstheme="minorHAnsi"/>
        </w:rPr>
        <w:t xml:space="preserve">plaintiff </w:t>
      </w:r>
      <w:r>
        <w:rPr>
          <w:rFonts w:cstheme="minorHAnsi"/>
        </w:rPr>
        <w:t>the attached order (see below)</w:t>
      </w:r>
      <w:r w:rsidRPr="00BE6194">
        <w:rPr>
          <w:rFonts w:cstheme="minorHAnsi"/>
        </w:rPr>
        <w:t xml:space="preserve">; if </w:t>
      </w:r>
      <w:r>
        <w:rPr>
          <w:rFonts w:cstheme="minorHAnsi"/>
        </w:rPr>
        <w:t xml:space="preserve">the </w:t>
      </w:r>
      <w:r w:rsidRPr="00BE6194">
        <w:rPr>
          <w:rFonts w:cstheme="minorHAnsi"/>
        </w:rPr>
        <w:t xml:space="preserve">plaintiff fails to respond within 10 days, </w:t>
      </w:r>
      <w:r>
        <w:rPr>
          <w:rFonts w:cstheme="minorHAnsi"/>
        </w:rPr>
        <w:t xml:space="preserve">the </w:t>
      </w:r>
      <w:r w:rsidRPr="00BE6194">
        <w:rPr>
          <w:rFonts w:cstheme="minorHAnsi"/>
        </w:rPr>
        <w:t xml:space="preserve">court enters zero as the post-judgment interest rate. </w:t>
      </w:r>
    </w:p>
    <w:p w14:paraId="5140E9EC" w14:textId="0E890E37" w:rsidR="0097794D" w:rsidRDefault="0097794D" w:rsidP="0097794D">
      <w:pPr>
        <w:pStyle w:val="ListParagraph"/>
        <w:rPr>
          <w:rFonts w:cstheme="minorHAnsi"/>
        </w:rPr>
      </w:pPr>
    </w:p>
    <w:p w14:paraId="379B26F6" w14:textId="0825A0E9" w:rsidR="00AD0618" w:rsidRPr="00C87CC0" w:rsidRDefault="0097794D" w:rsidP="00D5125C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87CC0">
        <w:rPr>
          <w:rFonts w:cstheme="minorHAnsi"/>
          <w:b/>
          <w:bCs/>
        </w:rPr>
        <w:t xml:space="preserve">Default judgment where plaintiff does not submit a proposed default judgment for the court to sign: </w:t>
      </w:r>
      <w:r w:rsidR="00AD0618" w:rsidRPr="00C87CC0">
        <w:rPr>
          <w:rFonts w:cstheme="minorHAnsi"/>
        </w:rPr>
        <w:t xml:space="preserve">the court answers questions (1) – (3) above. </w:t>
      </w:r>
      <w:r w:rsidR="00AD0618" w:rsidRPr="00C87CC0">
        <w:rPr>
          <w:rFonts w:cstheme="minorHAnsi"/>
        </w:rPr>
        <w:t>If it is not a suit on a contract, or it is a suit on a contract that does not provide for interest, then the court would enter the statutory rate (currently 5%).  If it is a suit on a contract that provides for interest, then the court applies the contract interest rate or 18%, whichever is less. If the</w:t>
      </w:r>
      <w:r w:rsidR="003E017C" w:rsidRPr="00C87CC0">
        <w:rPr>
          <w:rFonts w:cstheme="minorHAnsi"/>
        </w:rPr>
        <w:t xml:space="preserve"> plaintiff </w:t>
      </w:r>
      <w:r w:rsidR="00AD0618" w:rsidRPr="00C87CC0">
        <w:rPr>
          <w:rFonts w:cstheme="minorHAnsi"/>
        </w:rPr>
        <w:t xml:space="preserve">did not submit evidence of the interest rate in the contact, then the court </w:t>
      </w:r>
      <w:r w:rsidR="00C87CC0">
        <w:rPr>
          <w:rFonts w:cstheme="minorHAnsi"/>
        </w:rPr>
        <w:t>c</w:t>
      </w:r>
      <w:r w:rsidR="00AD0618" w:rsidRPr="00C87CC0">
        <w:rPr>
          <w:rFonts w:cstheme="minorHAnsi"/>
        </w:rPr>
        <w:t xml:space="preserve">ould ask the </w:t>
      </w:r>
      <w:r w:rsidR="00C87CC0" w:rsidRPr="00C87CC0">
        <w:rPr>
          <w:rFonts w:cstheme="minorHAnsi"/>
        </w:rPr>
        <w:t xml:space="preserve">plaintiff </w:t>
      </w:r>
      <w:r w:rsidR="00AD0618" w:rsidRPr="00C87CC0">
        <w:rPr>
          <w:rFonts w:cstheme="minorHAnsi"/>
        </w:rPr>
        <w:t xml:space="preserve">to submit evidence on that issue </w:t>
      </w:r>
      <w:r w:rsidR="00C87CC0">
        <w:rPr>
          <w:rFonts w:cstheme="minorHAnsi"/>
        </w:rPr>
        <w:t>or the plaintiff could waive post-judgment interest.</w:t>
      </w:r>
    </w:p>
    <w:p w14:paraId="3AF2FAB8" w14:textId="563273AC" w:rsidR="0097794D" w:rsidRPr="0097794D" w:rsidRDefault="0097794D" w:rsidP="00C87CC0">
      <w:pPr>
        <w:pStyle w:val="ListParagraph"/>
        <w:rPr>
          <w:rFonts w:cstheme="minorHAnsi"/>
        </w:rPr>
      </w:pPr>
    </w:p>
    <w:p w14:paraId="64A72425" w14:textId="77777777" w:rsidR="00236D7B" w:rsidRPr="00236D7B" w:rsidRDefault="00236D7B" w:rsidP="00236D7B">
      <w:pPr>
        <w:pStyle w:val="ListParagraph"/>
        <w:rPr>
          <w:rFonts w:cstheme="minorHAnsi"/>
        </w:rPr>
      </w:pPr>
    </w:p>
    <w:p w14:paraId="118D68D0" w14:textId="53669CD4" w:rsidR="00236D7B" w:rsidRPr="00236D7B" w:rsidRDefault="00236D7B" w:rsidP="00236D7B">
      <w:p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The following scenarios apply where the parties submit an agreed judgment: </w:t>
      </w:r>
    </w:p>
    <w:p w14:paraId="60E75B37" w14:textId="5EBBB20C" w:rsidR="00EA22E5" w:rsidRDefault="00EA22E5" w:rsidP="00792AFA">
      <w:pPr>
        <w:pStyle w:val="ListParagraph"/>
        <w:numPr>
          <w:ilvl w:val="0"/>
          <w:numId w:val="21"/>
        </w:numPr>
        <w:rPr>
          <w:rFonts w:cstheme="minorHAnsi"/>
        </w:rPr>
      </w:pPr>
      <w:r w:rsidRPr="00BE6194">
        <w:rPr>
          <w:rFonts w:cstheme="minorHAnsi"/>
          <w:b/>
          <w:bCs/>
        </w:rPr>
        <w:t xml:space="preserve">Agreed </w:t>
      </w:r>
      <w:r w:rsidR="00792AFA" w:rsidRPr="00BE6194">
        <w:rPr>
          <w:rFonts w:cstheme="minorHAnsi"/>
          <w:b/>
          <w:bCs/>
        </w:rPr>
        <w:t>j</w:t>
      </w:r>
      <w:r w:rsidRPr="00BE6194">
        <w:rPr>
          <w:rFonts w:cstheme="minorHAnsi"/>
          <w:b/>
          <w:bCs/>
        </w:rPr>
        <w:t xml:space="preserve">udgment </w:t>
      </w:r>
      <w:r w:rsidR="00792AFA" w:rsidRPr="00BE6194">
        <w:rPr>
          <w:rFonts w:cstheme="minorHAnsi"/>
          <w:b/>
          <w:bCs/>
        </w:rPr>
        <w:t>w</w:t>
      </w:r>
      <w:r w:rsidRPr="00BE6194">
        <w:rPr>
          <w:rFonts w:cstheme="minorHAnsi"/>
          <w:b/>
          <w:bCs/>
        </w:rPr>
        <w:t xml:space="preserve">hich </w:t>
      </w:r>
      <w:r w:rsidR="00792AFA" w:rsidRPr="00BE6194">
        <w:rPr>
          <w:rFonts w:cstheme="minorHAnsi"/>
          <w:b/>
          <w:bCs/>
        </w:rPr>
        <w:t>r</w:t>
      </w:r>
      <w:r w:rsidRPr="00BE6194">
        <w:rPr>
          <w:rFonts w:cstheme="minorHAnsi"/>
          <w:b/>
          <w:bCs/>
        </w:rPr>
        <w:t xml:space="preserve">equests </w:t>
      </w:r>
      <w:r w:rsidR="00792AFA" w:rsidRPr="00BE6194">
        <w:rPr>
          <w:rFonts w:cstheme="minorHAnsi"/>
          <w:b/>
          <w:bCs/>
        </w:rPr>
        <w:t>z</w:t>
      </w:r>
      <w:r w:rsidRPr="00BE6194">
        <w:rPr>
          <w:rFonts w:cstheme="minorHAnsi"/>
          <w:b/>
          <w:bCs/>
        </w:rPr>
        <w:t xml:space="preserve">ero as </w:t>
      </w:r>
      <w:r w:rsidR="00792AFA" w:rsidRPr="00BE6194">
        <w:rPr>
          <w:rFonts w:cstheme="minorHAnsi"/>
          <w:b/>
          <w:bCs/>
        </w:rPr>
        <w:t>p</w:t>
      </w:r>
      <w:r w:rsidRPr="00BE6194">
        <w:rPr>
          <w:rFonts w:cstheme="minorHAnsi"/>
          <w:b/>
          <w:bCs/>
        </w:rPr>
        <w:t>ost-</w:t>
      </w:r>
      <w:r w:rsidR="00792AFA" w:rsidRPr="00BE6194">
        <w:rPr>
          <w:rFonts w:cstheme="minorHAnsi"/>
          <w:b/>
          <w:bCs/>
        </w:rPr>
        <w:t>j</w:t>
      </w:r>
      <w:r w:rsidRPr="00BE6194">
        <w:rPr>
          <w:rFonts w:cstheme="minorHAnsi"/>
          <w:b/>
          <w:bCs/>
        </w:rPr>
        <w:t xml:space="preserve">udgment </w:t>
      </w:r>
      <w:r w:rsidR="00792AFA" w:rsidRPr="00BE6194">
        <w:rPr>
          <w:rFonts w:cstheme="minorHAnsi"/>
          <w:b/>
          <w:bCs/>
        </w:rPr>
        <w:t>interest r</w:t>
      </w:r>
      <w:r w:rsidRPr="00BE6194">
        <w:rPr>
          <w:rFonts w:cstheme="minorHAnsi"/>
          <w:b/>
          <w:bCs/>
        </w:rPr>
        <w:t>ate</w:t>
      </w:r>
      <w:r w:rsidR="00792AFA">
        <w:rPr>
          <w:rFonts w:cstheme="minorHAnsi"/>
        </w:rPr>
        <w:t xml:space="preserve">: </w:t>
      </w:r>
      <w:r w:rsidR="00706FC0">
        <w:rPr>
          <w:rFonts w:cstheme="minorHAnsi"/>
        </w:rPr>
        <w:t xml:space="preserve">the </w:t>
      </w:r>
      <w:r w:rsidR="00792AFA">
        <w:rPr>
          <w:rFonts w:cstheme="minorHAnsi"/>
        </w:rPr>
        <w:t>c</w:t>
      </w:r>
      <w:r w:rsidRPr="00792AFA">
        <w:rPr>
          <w:rFonts w:cstheme="minorHAnsi"/>
        </w:rPr>
        <w:t>ourt specifies zero.</w:t>
      </w:r>
    </w:p>
    <w:p w14:paraId="5F0FC370" w14:textId="77777777" w:rsidR="00CB6BBD" w:rsidRPr="00CB6BBD" w:rsidRDefault="00CB6BBD" w:rsidP="00CB6BBD">
      <w:pPr>
        <w:pStyle w:val="ListParagraph"/>
        <w:rPr>
          <w:rFonts w:cstheme="minorHAnsi"/>
        </w:rPr>
      </w:pPr>
    </w:p>
    <w:p w14:paraId="61AA5871" w14:textId="61B8160D" w:rsidR="00CB6BBD" w:rsidRPr="00792AFA" w:rsidRDefault="00CB6BBD" w:rsidP="00792AFA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b/>
          <w:bCs/>
        </w:rPr>
        <w:t xml:space="preserve">Agreed judgment which specifies the post-judgment interest rate: </w:t>
      </w:r>
      <w:r>
        <w:rPr>
          <w:rFonts w:cstheme="minorHAnsi"/>
        </w:rPr>
        <w:t xml:space="preserve">the court enters the specified rate or 18% whichever is less. </w:t>
      </w:r>
    </w:p>
    <w:p w14:paraId="2E697406" w14:textId="1E94D449" w:rsidR="00EA22E5" w:rsidRDefault="00EA22E5" w:rsidP="00EA22E5">
      <w:pPr>
        <w:pStyle w:val="ListParagraph"/>
        <w:ind w:left="1440"/>
        <w:rPr>
          <w:rFonts w:cstheme="minorHAnsi"/>
        </w:rPr>
      </w:pPr>
    </w:p>
    <w:p w14:paraId="29822AEC" w14:textId="3EDE2F13" w:rsidR="00792AFA" w:rsidRDefault="00EA22E5" w:rsidP="00876832">
      <w:pPr>
        <w:pStyle w:val="ListParagraph"/>
        <w:numPr>
          <w:ilvl w:val="0"/>
          <w:numId w:val="21"/>
        </w:numPr>
        <w:rPr>
          <w:rFonts w:cstheme="minorHAnsi"/>
        </w:rPr>
      </w:pPr>
      <w:r w:rsidRPr="00BE6194">
        <w:rPr>
          <w:rFonts w:cstheme="minorHAnsi"/>
          <w:b/>
          <w:bCs/>
        </w:rPr>
        <w:t xml:space="preserve">Agreed </w:t>
      </w:r>
      <w:r w:rsidR="00792AFA" w:rsidRPr="00BE6194">
        <w:rPr>
          <w:rFonts w:cstheme="minorHAnsi"/>
          <w:b/>
          <w:bCs/>
        </w:rPr>
        <w:t>j</w:t>
      </w:r>
      <w:r w:rsidRPr="00BE6194">
        <w:rPr>
          <w:rFonts w:cstheme="minorHAnsi"/>
          <w:b/>
          <w:bCs/>
        </w:rPr>
        <w:t xml:space="preserve">udgment </w:t>
      </w:r>
      <w:r w:rsidR="00792AFA" w:rsidRPr="00BE6194">
        <w:rPr>
          <w:rFonts w:cstheme="minorHAnsi"/>
          <w:b/>
          <w:bCs/>
        </w:rPr>
        <w:t>w</w:t>
      </w:r>
      <w:r w:rsidRPr="00BE6194">
        <w:rPr>
          <w:rFonts w:cstheme="minorHAnsi"/>
          <w:b/>
          <w:bCs/>
        </w:rPr>
        <w:t xml:space="preserve">here </w:t>
      </w:r>
      <w:r w:rsidR="00792AFA" w:rsidRPr="00BE6194">
        <w:rPr>
          <w:rFonts w:cstheme="minorHAnsi"/>
          <w:b/>
          <w:bCs/>
        </w:rPr>
        <w:t>p</w:t>
      </w:r>
      <w:r w:rsidRPr="00BE6194">
        <w:rPr>
          <w:rFonts w:cstheme="minorHAnsi"/>
          <w:b/>
          <w:bCs/>
        </w:rPr>
        <w:t>ost-</w:t>
      </w:r>
      <w:r w:rsidR="00792AFA" w:rsidRPr="00BE6194">
        <w:rPr>
          <w:rFonts w:cstheme="minorHAnsi"/>
          <w:b/>
          <w:bCs/>
        </w:rPr>
        <w:t>j</w:t>
      </w:r>
      <w:r w:rsidRPr="00BE6194">
        <w:rPr>
          <w:rFonts w:cstheme="minorHAnsi"/>
          <w:b/>
          <w:bCs/>
        </w:rPr>
        <w:t xml:space="preserve">udgment </w:t>
      </w:r>
      <w:r w:rsidR="00792AFA" w:rsidRPr="00BE6194">
        <w:rPr>
          <w:rFonts w:cstheme="minorHAnsi"/>
          <w:b/>
          <w:bCs/>
        </w:rPr>
        <w:t>i</w:t>
      </w:r>
      <w:r w:rsidRPr="00BE6194">
        <w:rPr>
          <w:rFonts w:cstheme="minorHAnsi"/>
          <w:b/>
          <w:bCs/>
        </w:rPr>
        <w:t xml:space="preserve">nterest </w:t>
      </w:r>
      <w:r w:rsidR="00792AFA" w:rsidRPr="00BE6194">
        <w:rPr>
          <w:rFonts w:cstheme="minorHAnsi"/>
          <w:b/>
          <w:bCs/>
        </w:rPr>
        <w:t>r</w:t>
      </w:r>
      <w:r w:rsidRPr="00BE6194">
        <w:rPr>
          <w:rFonts w:cstheme="minorHAnsi"/>
          <w:b/>
          <w:bCs/>
        </w:rPr>
        <w:t xml:space="preserve">ate is </w:t>
      </w:r>
      <w:r w:rsidR="00792AFA" w:rsidRPr="00BE6194">
        <w:rPr>
          <w:rFonts w:cstheme="minorHAnsi"/>
          <w:b/>
          <w:bCs/>
        </w:rPr>
        <w:t>b</w:t>
      </w:r>
      <w:r w:rsidRPr="00BE6194">
        <w:rPr>
          <w:rFonts w:cstheme="minorHAnsi"/>
          <w:b/>
          <w:bCs/>
        </w:rPr>
        <w:t>lank</w:t>
      </w:r>
      <w:r w:rsidR="00792AFA" w:rsidRPr="00BE6194">
        <w:rPr>
          <w:rFonts w:cstheme="minorHAnsi"/>
        </w:rPr>
        <w:t xml:space="preserve">: </w:t>
      </w:r>
      <w:r w:rsidR="00706FC0">
        <w:rPr>
          <w:rFonts w:cstheme="minorHAnsi"/>
        </w:rPr>
        <w:t xml:space="preserve">the </w:t>
      </w:r>
      <w:r w:rsidR="00792AFA" w:rsidRPr="00BE6194">
        <w:rPr>
          <w:rFonts w:cstheme="minorHAnsi"/>
        </w:rPr>
        <w:t xml:space="preserve">court </w:t>
      </w:r>
      <w:r w:rsidR="00BE6194" w:rsidRPr="00BE6194">
        <w:rPr>
          <w:rFonts w:cstheme="minorHAnsi"/>
        </w:rPr>
        <w:t xml:space="preserve">sends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parties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>attached order</w:t>
      </w:r>
      <w:r w:rsidR="00C415DE">
        <w:rPr>
          <w:rFonts w:cstheme="minorHAnsi"/>
        </w:rPr>
        <w:t xml:space="preserve"> (see below)</w:t>
      </w:r>
      <w:r w:rsidR="00BE6194" w:rsidRPr="00BE6194">
        <w:rPr>
          <w:rFonts w:cstheme="minorHAnsi"/>
        </w:rPr>
        <w:t xml:space="preserve">; if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parties stipulate to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contract interest rate,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court enters the stipulated rate or 18% whichever is less; if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plaintiff waives recovery of post-judgment interest or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parties fail to respond within 10 days,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court specifies zero as </w:t>
      </w:r>
      <w:r w:rsidR="00706FC0">
        <w:rPr>
          <w:rFonts w:cstheme="minorHAnsi"/>
        </w:rPr>
        <w:t xml:space="preserve">the </w:t>
      </w:r>
      <w:r w:rsidR="00BE6194" w:rsidRPr="00BE6194">
        <w:rPr>
          <w:rFonts w:cstheme="minorHAnsi"/>
        </w:rPr>
        <w:t xml:space="preserve">post-judgment </w:t>
      </w:r>
      <w:r w:rsidR="00706FC0">
        <w:rPr>
          <w:rFonts w:cstheme="minorHAnsi"/>
        </w:rPr>
        <w:t xml:space="preserve">interest </w:t>
      </w:r>
      <w:r w:rsidR="00BE6194" w:rsidRPr="00BE6194">
        <w:rPr>
          <w:rFonts w:cstheme="minorHAnsi"/>
        </w:rPr>
        <w:t xml:space="preserve">rate. </w:t>
      </w:r>
    </w:p>
    <w:p w14:paraId="2FB4FB1D" w14:textId="77777777" w:rsidR="002B04F9" w:rsidRPr="002B04F9" w:rsidRDefault="002B04F9" w:rsidP="002B04F9">
      <w:pPr>
        <w:pStyle w:val="ListParagraph"/>
        <w:rPr>
          <w:rFonts w:cstheme="minorHAnsi"/>
        </w:rPr>
      </w:pPr>
    </w:p>
    <w:p w14:paraId="2D51A1B2" w14:textId="27CB97A4" w:rsidR="002B04F9" w:rsidRDefault="002B04F9" w:rsidP="002B04F9">
      <w:pPr>
        <w:pStyle w:val="ListParagraph"/>
        <w:numPr>
          <w:ilvl w:val="0"/>
          <w:numId w:val="12"/>
        </w:numPr>
        <w:rPr>
          <w:rFonts w:cstheme="minorHAnsi"/>
          <w:b/>
          <w:bCs/>
        </w:rPr>
      </w:pPr>
      <w:r w:rsidRPr="002B04F9">
        <w:rPr>
          <w:rFonts w:cstheme="minorHAnsi"/>
          <w:b/>
          <w:bCs/>
        </w:rPr>
        <w:t>Order to Send if Post-Judgment Interest Rate is Not Specified in a Motion for a Default Judgment or an Agreed Judgment</w:t>
      </w:r>
    </w:p>
    <w:p w14:paraId="48854725" w14:textId="38427AC9" w:rsidR="00250DA3" w:rsidRDefault="00250DA3" w:rsidP="00C415DE">
      <w:pPr>
        <w:ind w:left="360" w:firstLine="360"/>
        <w:rPr>
          <w:rFonts w:cstheme="minorHAnsi"/>
        </w:rPr>
      </w:pPr>
      <w:r>
        <w:rPr>
          <w:rFonts w:cstheme="minorHAnsi"/>
        </w:rPr>
        <w:t>In any case where the plaintiff submits a proposed default judgment or an agreed judgment that does not specify a post-judgment interest rate, the court should send the following order to the parties</w:t>
      </w:r>
      <w:r w:rsidR="00CB6BBD">
        <w:rPr>
          <w:rFonts w:cstheme="minorHAnsi"/>
        </w:rPr>
        <w:t xml:space="preserve">. If the response indicates either that it is not a judgment on a contract or it is a judgment on a contract that does not provide for interest or a time price differential, then the court specifies the statutory rate (currently 5%) as the post-judgment interest rate. </w:t>
      </w:r>
    </w:p>
    <w:p w14:paraId="19FBFF10" w14:textId="5E7A2F80" w:rsidR="00250DA3" w:rsidRDefault="00250DA3" w:rsidP="00250DA3">
      <w:pPr>
        <w:ind w:left="72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CED8808" wp14:editId="20580965">
            <wp:extent cx="6169557" cy="6842782"/>
            <wp:effectExtent l="0" t="0" r="317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974" cy="685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3664" w14:textId="03A755F0" w:rsidR="00250DA3" w:rsidRDefault="00250DA3" w:rsidP="00250DA3">
      <w:pPr>
        <w:ind w:left="720"/>
        <w:rPr>
          <w:rFonts w:cstheme="minorHAnsi"/>
        </w:rPr>
      </w:pPr>
    </w:p>
    <w:p w14:paraId="47AAD9BE" w14:textId="2F6DD968" w:rsidR="00C415DE" w:rsidRDefault="00250DA3">
      <w:pPr>
        <w:rPr>
          <w:rFonts w:cstheme="minorHAnsi"/>
          <w:noProof/>
        </w:rPr>
      </w:pPr>
      <w:r>
        <w:rPr>
          <w:rFonts w:cstheme="minorHAnsi"/>
        </w:rPr>
        <w:br w:type="page"/>
      </w:r>
      <w:r w:rsidR="00C415DE">
        <w:rPr>
          <w:rFonts w:cstheme="minorHAnsi"/>
          <w:noProof/>
        </w:rPr>
        <w:lastRenderedPageBreak/>
        <w:drawing>
          <wp:inline distT="0" distB="0" distL="0" distR="0" wp14:anchorId="3CFE6C3B" wp14:editId="2FE5B9E7">
            <wp:extent cx="6185777" cy="8452406"/>
            <wp:effectExtent l="0" t="0" r="5715" b="635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784" cy="84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5DE">
        <w:rPr>
          <w:rFonts w:cstheme="minorHAnsi"/>
          <w:noProof/>
        </w:rPr>
        <w:br w:type="page"/>
      </w:r>
    </w:p>
    <w:p w14:paraId="26B6BDC5" w14:textId="3C37E722" w:rsidR="00250DA3" w:rsidRDefault="00250DA3" w:rsidP="00250DA3">
      <w:pPr>
        <w:ind w:left="720"/>
        <w:rPr>
          <w:rFonts w:cstheme="minorHAnsi"/>
        </w:rPr>
      </w:pPr>
      <w:r>
        <w:rPr>
          <w:rFonts w:cstheme="minorHAnsi"/>
        </w:rPr>
        <w:lastRenderedPageBreak/>
        <w:br/>
      </w:r>
    </w:p>
    <w:p w14:paraId="5C0C0A35" w14:textId="28D209A8" w:rsidR="00250DA3" w:rsidRPr="00250DA3" w:rsidRDefault="00250DA3" w:rsidP="00250DA3">
      <w:pPr>
        <w:ind w:left="7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CC93CF6" wp14:editId="2E235C2B">
            <wp:extent cx="5910827" cy="7463061"/>
            <wp:effectExtent l="0" t="0" r="0" b="5080"/>
            <wp:docPr id="3" name="Picture 3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527" cy="747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DA3" w:rsidRPr="00250DA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DBE6" w14:textId="77777777" w:rsidR="008679F7" w:rsidRDefault="00F37696">
      <w:pPr>
        <w:spacing w:after="0" w:line="240" w:lineRule="auto"/>
      </w:pPr>
      <w:r>
        <w:separator/>
      </w:r>
    </w:p>
  </w:endnote>
  <w:endnote w:type="continuationSeparator" w:id="0">
    <w:p w14:paraId="7FFA5026" w14:textId="77777777" w:rsidR="008679F7" w:rsidRDefault="00F3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470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5C804" w14:textId="77777777" w:rsidR="00800E4C" w:rsidRDefault="00761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72B55" w14:textId="77777777" w:rsidR="00800E4C" w:rsidRDefault="00A42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9158" w14:textId="77777777" w:rsidR="008679F7" w:rsidRDefault="00F37696">
      <w:pPr>
        <w:spacing w:after="0" w:line="240" w:lineRule="auto"/>
      </w:pPr>
      <w:r>
        <w:separator/>
      </w:r>
    </w:p>
  </w:footnote>
  <w:footnote w:type="continuationSeparator" w:id="0">
    <w:p w14:paraId="4ECF1DF9" w14:textId="77777777" w:rsidR="008679F7" w:rsidRDefault="00F3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AE6"/>
    <w:multiLevelType w:val="hybridMultilevel"/>
    <w:tmpl w:val="191A4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B02EA"/>
    <w:multiLevelType w:val="hybridMultilevel"/>
    <w:tmpl w:val="BBA43860"/>
    <w:lvl w:ilvl="0" w:tplc="1F0EB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AFB"/>
    <w:multiLevelType w:val="hybridMultilevel"/>
    <w:tmpl w:val="BFD016B2"/>
    <w:lvl w:ilvl="0" w:tplc="B39C127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37940"/>
    <w:multiLevelType w:val="hybridMultilevel"/>
    <w:tmpl w:val="DD768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45B85"/>
    <w:multiLevelType w:val="hybridMultilevel"/>
    <w:tmpl w:val="D116DE08"/>
    <w:lvl w:ilvl="0" w:tplc="8BDAC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2F6"/>
    <w:multiLevelType w:val="hybridMultilevel"/>
    <w:tmpl w:val="69206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039"/>
    <w:multiLevelType w:val="hybridMultilevel"/>
    <w:tmpl w:val="9E2EEA00"/>
    <w:lvl w:ilvl="0" w:tplc="06CC3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2139E"/>
    <w:multiLevelType w:val="hybridMultilevel"/>
    <w:tmpl w:val="7E981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434C5"/>
    <w:multiLevelType w:val="hybridMultilevel"/>
    <w:tmpl w:val="7730E7DC"/>
    <w:lvl w:ilvl="0" w:tplc="9D5EAD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A515CE"/>
    <w:multiLevelType w:val="hybridMultilevel"/>
    <w:tmpl w:val="446423C8"/>
    <w:lvl w:ilvl="0" w:tplc="793464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E71F6B"/>
    <w:multiLevelType w:val="hybridMultilevel"/>
    <w:tmpl w:val="57025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1D7C"/>
    <w:multiLevelType w:val="hybridMultilevel"/>
    <w:tmpl w:val="06F2BA78"/>
    <w:lvl w:ilvl="0" w:tplc="A0485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56291C"/>
    <w:multiLevelType w:val="hybridMultilevel"/>
    <w:tmpl w:val="22B00B3A"/>
    <w:lvl w:ilvl="0" w:tplc="BA26C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D5324F"/>
    <w:multiLevelType w:val="hybridMultilevel"/>
    <w:tmpl w:val="7A7C5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091938"/>
    <w:multiLevelType w:val="hybridMultilevel"/>
    <w:tmpl w:val="86A03362"/>
    <w:lvl w:ilvl="0" w:tplc="075A4B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6D65A3"/>
    <w:multiLevelType w:val="hybridMultilevel"/>
    <w:tmpl w:val="B3184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713F79"/>
    <w:multiLevelType w:val="hybridMultilevel"/>
    <w:tmpl w:val="696CD356"/>
    <w:lvl w:ilvl="0" w:tplc="28DE2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05543"/>
    <w:multiLevelType w:val="hybridMultilevel"/>
    <w:tmpl w:val="549A3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D807CD"/>
    <w:multiLevelType w:val="hybridMultilevel"/>
    <w:tmpl w:val="D0C6C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7F0FDC"/>
    <w:multiLevelType w:val="hybridMultilevel"/>
    <w:tmpl w:val="41CEF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4E369C"/>
    <w:multiLevelType w:val="hybridMultilevel"/>
    <w:tmpl w:val="732490D8"/>
    <w:lvl w:ilvl="0" w:tplc="94389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20"/>
  </w:num>
  <w:num w:numId="12">
    <w:abstractNumId w:val="1"/>
  </w:num>
  <w:num w:numId="13">
    <w:abstractNumId w:val="13"/>
  </w:num>
  <w:num w:numId="14">
    <w:abstractNumId w:val="0"/>
  </w:num>
  <w:num w:numId="15">
    <w:abstractNumId w:val="3"/>
  </w:num>
  <w:num w:numId="16">
    <w:abstractNumId w:val="18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9"/>
    <w:rsid w:val="000009C3"/>
    <w:rsid w:val="00030B16"/>
    <w:rsid w:val="00031F5F"/>
    <w:rsid w:val="00032993"/>
    <w:rsid w:val="00033BEB"/>
    <w:rsid w:val="00060188"/>
    <w:rsid w:val="00081D02"/>
    <w:rsid w:val="000921CB"/>
    <w:rsid w:val="000A3435"/>
    <w:rsid w:val="00111857"/>
    <w:rsid w:val="001226EA"/>
    <w:rsid w:val="00123683"/>
    <w:rsid w:val="001330D9"/>
    <w:rsid w:val="00137CD5"/>
    <w:rsid w:val="00151011"/>
    <w:rsid w:val="00157AC6"/>
    <w:rsid w:val="00174A88"/>
    <w:rsid w:val="001811A5"/>
    <w:rsid w:val="001C3A6C"/>
    <w:rsid w:val="00216F86"/>
    <w:rsid w:val="00236D7B"/>
    <w:rsid w:val="00236DBF"/>
    <w:rsid w:val="00250DA3"/>
    <w:rsid w:val="00256D4D"/>
    <w:rsid w:val="00264BA4"/>
    <w:rsid w:val="00273280"/>
    <w:rsid w:val="00296114"/>
    <w:rsid w:val="002A45A5"/>
    <w:rsid w:val="002B04F9"/>
    <w:rsid w:val="002B46DA"/>
    <w:rsid w:val="002D04CC"/>
    <w:rsid w:val="002E1006"/>
    <w:rsid w:val="002F1D99"/>
    <w:rsid w:val="003040DC"/>
    <w:rsid w:val="003107BB"/>
    <w:rsid w:val="00315F24"/>
    <w:rsid w:val="0032207B"/>
    <w:rsid w:val="00327FAB"/>
    <w:rsid w:val="00362124"/>
    <w:rsid w:val="00364B1E"/>
    <w:rsid w:val="003918B1"/>
    <w:rsid w:val="003C6804"/>
    <w:rsid w:val="003D0CD2"/>
    <w:rsid w:val="003E017C"/>
    <w:rsid w:val="00403AA4"/>
    <w:rsid w:val="00414BCC"/>
    <w:rsid w:val="00423E61"/>
    <w:rsid w:val="00444BDD"/>
    <w:rsid w:val="004663E2"/>
    <w:rsid w:val="004901D9"/>
    <w:rsid w:val="004B46AE"/>
    <w:rsid w:val="004D5A78"/>
    <w:rsid w:val="004D7297"/>
    <w:rsid w:val="004D761D"/>
    <w:rsid w:val="00503360"/>
    <w:rsid w:val="0053531A"/>
    <w:rsid w:val="0055213A"/>
    <w:rsid w:val="00575D32"/>
    <w:rsid w:val="005C0207"/>
    <w:rsid w:val="005D742E"/>
    <w:rsid w:val="00604783"/>
    <w:rsid w:val="0063258B"/>
    <w:rsid w:val="00634969"/>
    <w:rsid w:val="006373F1"/>
    <w:rsid w:val="0065588B"/>
    <w:rsid w:val="00691401"/>
    <w:rsid w:val="00697C27"/>
    <w:rsid w:val="006C20AA"/>
    <w:rsid w:val="006C2BE1"/>
    <w:rsid w:val="006E2B93"/>
    <w:rsid w:val="006F0ECD"/>
    <w:rsid w:val="007036CB"/>
    <w:rsid w:val="00706FC0"/>
    <w:rsid w:val="00711653"/>
    <w:rsid w:val="00717231"/>
    <w:rsid w:val="0074445D"/>
    <w:rsid w:val="00756AE3"/>
    <w:rsid w:val="00761CCC"/>
    <w:rsid w:val="007734B6"/>
    <w:rsid w:val="0079089B"/>
    <w:rsid w:val="00792AFA"/>
    <w:rsid w:val="007A0EC5"/>
    <w:rsid w:val="007E1112"/>
    <w:rsid w:val="007F050F"/>
    <w:rsid w:val="007F42D7"/>
    <w:rsid w:val="0081361A"/>
    <w:rsid w:val="00816996"/>
    <w:rsid w:val="00830181"/>
    <w:rsid w:val="00850E8E"/>
    <w:rsid w:val="008679F7"/>
    <w:rsid w:val="008D01D0"/>
    <w:rsid w:val="00925D92"/>
    <w:rsid w:val="009370ED"/>
    <w:rsid w:val="009416AA"/>
    <w:rsid w:val="00961118"/>
    <w:rsid w:val="0096726A"/>
    <w:rsid w:val="00974928"/>
    <w:rsid w:val="0097794D"/>
    <w:rsid w:val="00977BDC"/>
    <w:rsid w:val="00996EE8"/>
    <w:rsid w:val="009A41CA"/>
    <w:rsid w:val="009C2361"/>
    <w:rsid w:val="009F6029"/>
    <w:rsid w:val="00A07D83"/>
    <w:rsid w:val="00A42E77"/>
    <w:rsid w:val="00A45C1E"/>
    <w:rsid w:val="00A562D5"/>
    <w:rsid w:val="00A671B9"/>
    <w:rsid w:val="00A67CFB"/>
    <w:rsid w:val="00AA5C65"/>
    <w:rsid w:val="00AB2C05"/>
    <w:rsid w:val="00AC2A06"/>
    <w:rsid w:val="00AD0618"/>
    <w:rsid w:val="00AE42AD"/>
    <w:rsid w:val="00AF428F"/>
    <w:rsid w:val="00B028E9"/>
    <w:rsid w:val="00B20D79"/>
    <w:rsid w:val="00B30979"/>
    <w:rsid w:val="00B34F24"/>
    <w:rsid w:val="00B54F21"/>
    <w:rsid w:val="00B84122"/>
    <w:rsid w:val="00B96163"/>
    <w:rsid w:val="00BE6194"/>
    <w:rsid w:val="00BF7C58"/>
    <w:rsid w:val="00C03839"/>
    <w:rsid w:val="00C1770B"/>
    <w:rsid w:val="00C216CA"/>
    <w:rsid w:val="00C415DE"/>
    <w:rsid w:val="00C70BEB"/>
    <w:rsid w:val="00C75D5E"/>
    <w:rsid w:val="00C81A52"/>
    <w:rsid w:val="00C87CC0"/>
    <w:rsid w:val="00CB6BBD"/>
    <w:rsid w:val="00CD65FB"/>
    <w:rsid w:val="00CF25D8"/>
    <w:rsid w:val="00CF462C"/>
    <w:rsid w:val="00CF5392"/>
    <w:rsid w:val="00D42395"/>
    <w:rsid w:val="00D73FCC"/>
    <w:rsid w:val="00D96E16"/>
    <w:rsid w:val="00DE3B53"/>
    <w:rsid w:val="00DF56A2"/>
    <w:rsid w:val="00E11ED9"/>
    <w:rsid w:val="00E300B7"/>
    <w:rsid w:val="00E47A5C"/>
    <w:rsid w:val="00E60294"/>
    <w:rsid w:val="00E77257"/>
    <w:rsid w:val="00EA22E5"/>
    <w:rsid w:val="00EC20D0"/>
    <w:rsid w:val="00ED3B16"/>
    <w:rsid w:val="00ED7F6D"/>
    <w:rsid w:val="00EF0F8E"/>
    <w:rsid w:val="00EF5C5A"/>
    <w:rsid w:val="00EF7625"/>
    <w:rsid w:val="00F00A9B"/>
    <w:rsid w:val="00F01325"/>
    <w:rsid w:val="00F37696"/>
    <w:rsid w:val="00F54F06"/>
    <w:rsid w:val="00F73741"/>
    <w:rsid w:val="00F7667F"/>
    <w:rsid w:val="00F8057B"/>
    <w:rsid w:val="00F8113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0307"/>
  <w15:chartTrackingRefBased/>
  <w15:docId w15:val="{41DEA7E3-E0A4-4139-B433-AADB775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79"/>
  </w:style>
  <w:style w:type="paragraph" w:styleId="ListParagraph">
    <w:name w:val="List Paragraph"/>
    <w:basedOn w:val="Normal"/>
    <w:uiPriority w:val="34"/>
    <w:qFormat/>
    <w:rsid w:val="00B20D7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6D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6DBF"/>
    <w:rPr>
      <w:color w:val="0000FF"/>
      <w:u w:val="single"/>
    </w:rPr>
  </w:style>
  <w:style w:type="character" w:customStyle="1" w:styleId="costarpage">
    <w:name w:val="co_starpage"/>
    <w:basedOn w:val="DefaultParagraphFont"/>
    <w:rsid w:val="00236DBF"/>
  </w:style>
  <w:style w:type="paragraph" w:styleId="Header">
    <w:name w:val="header"/>
    <w:basedOn w:val="Normal"/>
    <w:link w:val="HeaderChar"/>
    <w:uiPriority w:val="99"/>
    <w:unhideWhenUsed/>
    <w:rsid w:val="00AB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05"/>
  </w:style>
  <w:style w:type="paragraph" w:styleId="BalloonText">
    <w:name w:val="Balloon Text"/>
    <w:basedOn w:val="Normal"/>
    <w:link w:val="BalloonTextChar"/>
    <w:uiPriority w:val="99"/>
    <w:semiHidden/>
    <w:unhideWhenUsed/>
    <w:rsid w:val="00E1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Sarosdy, Randall L</cp:lastModifiedBy>
  <cp:revision>5</cp:revision>
  <cp:lastPrinted>2020-10-12T16:23:00Z</cp:lastPrinted>
  <dcterms:created xsi:type="dcterms:W3CDTF">2020-11-02T20:08:00Z</dcterms:created>
  <dcterms:modified xsi:type="dcterms:W3CDTF">2020-11-02T21:07:00Z</dcterms:modified>
</cp:coreProperties>
</file>