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7768" w14:textId="77777777" w:rsidR="000E245A" w:rsidRPr="00092337" w:rsidRDefault="00FA6839" w:rsidP="00FA6839">
      <w:pPr>
        <w:pStyle w:val="NoSpacing"/>
        <w:jc w:val="center"/>
        <w:rPr>
          <w:b/>
          <w:sz w:val="24"/>
          <w:szCs w:val="24"/>
          <w:u w:val="single"/>
        </w:rPr>
      </w:pPr>
      <w:r w:rsidRPr="008F366F">
        <w:rPr>
          <w:b/>
          <w:sz w:val="24"/>
          <w:szCs w:val="24"/>
          <w:u w:val="single"/>
        </w:rPr>
        <w:t>20</w:t>
      </w:r>
      <w:r w:rsidR="00092337" w:rsidRPr="008F366F">
        <w:rPr>
          <w:b/>
          <w:sz w:val="24"/>
          <w:szCs w:val="24"/>
          <w:u w:val="single"/>
        </w:rPr>
        <w:t>20</w:t>
      </w:r>
      <w:r w:rsidRPr="008F366F">
        <w:rPr>
          <w:b/>
          <w:sz w:val="24"/>
          <w:szCs w:val="24"/>
          <w:u w:val="single"/>
        </w:rPr>
        <w:t>– 20</w:t>
      </w:r>
      <w:r w:rsidR="00092337" w:rsidRPr="008F366F">
        <w:rPr>
          <w:b/>
          <w:sz w:val="24"/>
          <w:szCs w:val="24"/>
          <w:u w:val="single"/>
        </w:rPr>
        <w:t>21</w:t>
      </w:r>
      <w:r w:rsidRPr="00092337">
        <w:rPr>
          <w:b/>
          <w:sz w:val="24"/>
          <w:szCs w:val="24"/>
          <w:u w:val="single"/>
        </w:rPr>
        <w:t xml:space="preserve"> SOC Funding Guidelines </w:t>
      </w:r>
    </w:p>
    <w:p w14:paraId="79C2C66A" w14:textId="77777777" w:rsidR="00FA6839" w:rsidRPr="00092337" w:rsidRDefault="00FA6839" w:rsidP="00FA6839">
      <w:pPr>
        <w:pStyle w:val="NoSpacing"/>
        <w:rPr>
          <w:szCs w:val="24"/>
        </w:rPr>
      </w:pPr>
    </w:p>
    <w:p w14:paraId="4042D79B" w14:textId="77777777" w:rsidR="00FA6839" w:rsidRPr="00092337" w:rsidRDefault="00FA6839" w:rsidP="00FA6839">
      <w:pPr>
        <w:pStyle w:val="NoSpacing"/>
        <w:rPr>
          <w:b/>
          <w:szCs w:val="24"/>
        </w:rPr>
      </w:pPr>
      <w:r w:rsidRPr="00092337">
        <w:rPr>
          <w:b/>
          <w:szCs w:val="24"/>
        </w:rPr>
        <w:t>I. Purpose:</w:t>
      </w:r>
    </w:p>
    <w:p w14:paraId="5F561BF7" w14:textId="77777777" w:rsidR="00FA6839" w:rsidRPr="00092337" w:rsidRDefault="00FA6839" w:rsidP="00FA6839">
      <w:pPr>
        <w:pStyle w:val="NoSpacing"/>
        <w:rPr>
          <w:szCs w:val="24"/>
        </w:rPr>
      </w:pPr>
      <w:r w:rsidRPr="00092337">
        <w:rPr>
          <w:szCs w:val="24"/>
        </w:rPr>
        <w:t>The Student Organizations Council (SOC) provides financial assistance to registered student organizations who meet the requirements set forth by the SOC Constitution and By Laws for programming that benefit</w:t>
      </w:r>
      <w:r w:rsidR="00D811D0">
        <w:rPr>
          <w:szCs w:val="24"/>
        </w:rPr>
        <w:t>s</w:t>
      </w:r>
      <w:r w:rsidRPr="00092337">
        <w:rPr>
          <w:szCs w:val="24"/>
        </w:rPr>
        <w:t xml:space="preserve"> or engage</w:t>
      </w:r>
      <w:r w:rsidR="00D811D0">
        <w:rPr>
          <w:szCs w:val="24"/>
        </w:rPr>
        <w:t>s</w:t>
      </w:r>
      <w:r w:rsidRPr="00092337">
        <w:rPr>
          <w:szCs w:val="24"/>
        </w:rPr>
        <w:t xml:space="preserve"> the university community.</w:t>
      </w:r>
    </w:p>
    <w:p w14:paraId="057BB796" w14:textId="77777777" w:rsidR="00FA6839" w:rsidRPr="00092337" w:rsidRDefault="00FA6839" w:rsidP="00FA6839">
      <w:pPr>
        <w:pStyle w:val="NoSpacing"/>
        <w:rPr>
          <w:szCs w:val="24"/>
        </w:rPr>
      </w:pPr>
    </w:p>
    <w:p w14:paraId="763EBBB2" w14:textId="77777777" w:rsidR="00FA6839" w:rsidRPr="00092337" w:rsidRDefault="00FA6839" w:rsidP="00FA6839">
      <w:pPr>
        <w:pStyle w:val="NoSpacing"/>
        <w:rPr>
          <w:b/>
          <w:szCs w:val="24"/>
        </w:rPr>
      </w:pPr>
      <w:r w:rsidRPr="00092337">
        <w:rPr>
          <w:b/>
          <w:szCs w:val="24"/>
        </w:rPr>
        <w:t>II. Eligibility:</w:t>
      </w:r>
    </w:p>
    <w:p w14:paraId="5FB3A36F" w14:textId="77777777" w:rsidR="00FA6839" w:rsidRPr="00092337" w:rsidRDefault="00FA6839" w:rsidP="00FA6839">
      <w:pPr>
        <w:pStyle w:val="NoSpacing"/>
        <w:numPr>
          <w:ilvl w:val="0"/>
          <w:numId w:val="1"/>
        </w:numPr>
        <w:rPr>
          <w:szCs w:val="24"/>
        </w:rPr>
      </w:pPr>
      <w:r w:rsidRPr="00092337">
        <w:rPr>
          <w:szCs w:val="24"/>
        </w:rPr>
        <w:t xml:space="preserve">To apply for funding from SOC, the student organization must be </w:t>
      </w:r>
      <w:hyperlink r:id="rId5" w:history="1">
        <w:r w:rsidRPr="00092337">
          <w:rPr>
            <w:rStyle w:val="Hyperlink"/>
            <w:szCs w:val="24"/>
          </w:rPr>
          <w:t>registered</w:t>
        </w:r>
      </w:hyperlink>
      <w:r w:rsidRPr="00092337">
        <w:rPr>
          <w:szCs w:val="24"/>
        </w:rPr>
        <w:t xml:space="preserve"> with Student Involvement @LBJSC, complete the mandatory </w:t>
      </w:r>
      <w:hyperlink r:id="rId6" w:history="1">
        <w:r w:rsidRPr="00092337">
          <w:rPr>
            <w:rStyle w:val="Hyperlink"/>
            <w:szCs w:val="24"/>
          </w:rPr>
          <w:t>risk management-training session</w:t>
        </w:r>
      </w:hyperlink>
      <w:r w:rsidRPr="00092337">
        <w:rPr>
          <w:szCs w:val="24"/>
        </w:rPr>
        <w:t xml:space="preserve">, </w:t>
      </w:r>
      <w:r w:rsidR="006E5D71" w:rsidRPr="00092337">
        <w:rPr>
          <w:szCs w:val="24"/>
        </w:rPr>
        <w:t xml:space="preserve">submit verification of presenting risk management training to respective organizations, </w:t>
      </w:r>
      <w:r w:rsidRPr="00092337">
        <w:rPr>
          <w:szCs w:val="24"/>
        </w:rPr>
        <w:t xml:space="preserve">and be in good standing with Texas State University. </w:t>
      </w:r>
    </w:p>
    <w:p w14:paraId="0991B843" w14:textId="2489C83E" w:rsidR="00FA6839" w:rsidRPr="00092337" w:rsidRDefault="00FA6839" w:rsidP="00FA6839">
      <w:pPr>
        <w:pStyle w:val="NoSpacing"/>
        <w:numPr>
          <w:ilvl w:val="0"/>
          <w:numId w:val="1"/>
        </w:numPr>
        <w:rPr>
          <w:szCs w:val="24"/>
        </w:rPr>
      </w:pPr>
      <w:r w:rsidRPr="00092337">
        <w:rPr>
          <w:szCs w:val="24"/>
        </w:rPr>
        <w:t>A registered student organization must be an active organization, before applying prior to submitting an application for funding assistance from SOC.</w:t>
      </w:r>
    </w:p>
    <w:p w14:paraId="36569B23" w14:textId="77777777" w:rsidR="00092337" w:rsidRPr="00D811D0" w:rsidRDefault="00092337" w:rsidP="00092337">
      <w:pPr>
        <w:pStyle w:val="ListParagraph"/>
        <w:numPr>
          <w:ilvl w:val="0"/>
          <w:numId w:val="1"/>
        </w:numPr>
        <w:spacing w:line="240" w:lineRule="auto"/>
        <w:rPr>
          <w:rFonts w:eastAsia="Times New Roman" w:cs="Arial"/>
          <w:color w:val="212529"/>
          <w:shd w:val="clear" w:color="auto" w:fill="FFFFFF"/>
        </w:rPr>
      </w:pPr>
      <w:r w:rsidRPr="00D811D0">
        <w:rPr>
          <w:rFonts w:eastAsia="Times New Roman" w:cs="Arial"/>
          <w:color w:val="212529"/>
          <w:shd w:val="clear" w:color="auto" w:fill="FFFFFF"/>
        </w:rPr>
        <w:t xml:space="preserve">Events must adhere </w:t>
      </w:r>
      <w:r w:rsidR="00D811D0" w:rsidRPr="00D811D0">
        <w:rPr>
          <w:rFonts w:eastAsia="Times New Roman" w:cs="Arial"/>
          <w:color w:val="212529"/>
          <w:shd w:val="clear" w:color="auto" w:fill="FFFFFF"/>
        </w:rPr>
        <w:t>to</w:t>
      </w:r>
      <w:r w:rsidRPr="00D811D0">
        <w:rPr>
          <w:rFonts w:eastAsia="Times New Roman" w:cs="Arial"/>
          <w:color w:val="212529"/>
          <w:shd w:val="clear" w:color="auto" w:fill="FFFFFF"/>
        </w:rPr>
        <w:t xml:space="preserve"> the Texas State University </w:t>
      </w:r>
      <w:hyperlink r:id="rId7" w:history="1">
        <w:r w:rsidR="00D811D0" w:rsidRPr="00D811D0">
          <w:rPr>
            <w:rStyle w:val="Hyperlink"/>
            <w:rFonts w:eastAsia="Times New Roman" w:cs="Arial"/>
            <w:shd w:val="clear" w:color="auto" w:fill="FFFFFF"/>
          </w:rPr>
          <w:t>Roadmap</w:t>
        </w:r>
      </w:hyperlink>
      <w:r w:rsidR="00D811D0" w:rsidRPr="00D811D0">
        <w:rPr>
          <w:rFonts w:eastAsia="Times New Roman" w:cs="Arial"/>
          <w:color w:val="212529"/>
          <w:shd w:val="clear" w:color="auto" w:fill="FFFFFF"/>
        </w:rPr>
        <w:t xml:space="preserve"> </w:t>
      </w:r>
      <w:r w:rsidRPr="00D811D0">
        <w:rPr>
          <w:rFonts w:eastAsia="Times New Roman" w:cs="Arial"/>
          <w:color w:val="212529"/>
          <w:shd w:val="clear" w:color="auto" w:fill="FFFFFF"/>
        </w:rPr>
        <w:t>guidelines.</w:t>
      </w:r>
    </w:p>
    <w:p w14:paraId="338A5B6B" w14:textId="77777777" w:rsidR="00D811D0" w:rsidRPr="00D811D0" w:rsidRDefault="00D811D0" w:rsidP="00092337">
      <w:pPr>
        <w:pStyle w:val="ListParagraph"/>
        <w:numPr>
          <w:ilvl w:val="0"/>
          <w:numId w:val="1"/>
        </w:numPr>
        <w:spacing w:line="240" w:lineRule="auto"/>
        <w:rPr>
          <w:rFonts w:eastAsia="Times New Roman" w:cs="Arial"/>
          <w:color w:val="212529"/>
          <w:shd w:val="clear" w:color="auto" w:fill="FFFFFF"/>
        </w:rPr>
      </w:pPr>
      <w:r w:rsidRPr="00D811D0">
        <w:rPr>
          <w:rFonts w:eastAsia="Times New Roman" w:cs="Arial"/>
          <w:color w:val="212529"/>
          <w:shd w:val="clear" w:color="auto" w:fill="FFFFFF"/>
        </w:rPr>
        <w:t xml:space="preserve">Events must adhere to all guidelines found at the Student Involvement </w:t>
      </w:r>
      <w:hyperlink r:id="rId8" w:history="1">
        <w:r w:rsidRPr="00D811D0">
          <w:rPr>
            <w:rStyle w:val="Hyperlink"/>
            <w:rFonts w:eastAsia="Times New Roman" w:cs="Arial"/>
            <w:shd w:val="clear" w:color="auto" w:fill="FFFFFF"/>
          </w:rPr>
          <w:t>here</w:t>
        </w:r>
      </w:hyperlink>
      <w:r w:rsidRPr="00D811D0">
        <w:rPr>
          <w:rFonts w:eastAsia="Times New Roman" w:cs="Arial"/>
          <w:color w:val="212529"/>
          <w:shd w:val="clear" w:color="auto" w:fill="FFFFFF"/>
        </w:rPr>
        <w:t>.</w:t>
      </w:r>
    </w:p>
    <w:p w14:paraId="5DE1D935" w14:textId="77777777" w:rsidR="006863C9" w:rsidRPr="00092337" w:rsidRDefault="00FA6839" w:rsidP="00FA6839">
      <w:pPr>
        <w:pStyle w:val="NoSpacing"/>
        <w:ind w:right="-360"/>
        <w:rPr>
          <w:b/>
          <w:szCs w:val="24"/>
        </w:rPr>
      </w:pPr>
      <w:r w:rsidRPr="00092337">
        <w:rPr>
          <w:b/>
          <w:szCs w:val="24"/>
        </w:rPr>
        <w:t>III. Funding Amount</w:t>
      </w:r>
      <w:r w:rsidR="00EB4CFB" w:rsidRPr="00092337">
        <w:rPr>
          <w:b/>
          <w:szCs w:val="24"/>
        </w:rPr>
        <w:t xml:space="preserve"> </w:t>
      </w:r>
      <w:r w:rsidR="00D811D0">
        <w:rPr>
          <w:b/>
          <w:szCs w:val="24"/>
        </w:rPr>
        <w:t>Available Up to $500</w:t>
      </w:r>
      <w:r w:rsidR="00EB4CFB" w:rsidRPr="00092337">
        <w:rPr>
          <w:b/>
          <w:szCs w:val="24"/>
        </w:rPr>
        <w:t>*</w:t>
      </w:r>
    </w:p>
    <w:p w14:paraId="3C56AF14" w14:textId="77777777" w:rsidR="00A43A74" w:rsidRPr="00092337" w:rsidRDefault="00A43A74" w:rsidP="00FA6839">
      <w:pPr>
        <w:pStyle w:val="NoSpacing"/>
        <w:ind w:right="-360"/>
        <w:rPr>
          <w:b/>
          <w:szCs w:val="24"/>
        </w:rPr>
      </w:pPr>
    </w:p>
    <w:tbl>
      <w:tblPr>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D811D0" w:rsidRPr="00092337" w14:paraId="3AF4B1DA" w14:textId="77777777" w:rsidTr="00D811D0">
        <w:trPr>
          <w:trHeight w:val="305"/>
        </w:trPr>
        <w:tc>
          <w:tcPr>
            <w:tcW w:w="8880" w:type="dxa"/>
          </w:tcPr>
          <w:p w14:paraId="64877086" w14:textId="77777777" w:rsidR="00D811D0" w:rsidRPr="00092337" w:rsidRDefault="00D811D0" w:rsidP="00FA6839">
            <w:pPr>
              <w:pStyle w:val="NoSpacing"/>
              <w:ind w:right="-360"/>
              <w:jc w:val="center"/>
              <w:rPr>
                <w:b/>
                <w:szCs w:val="24"/>
              </w:rPr>
            </w:pPr>
            <w:r>
              <w:rPr>
                <w:b/>
                <w:szCs w:val="24"/>
              </w:rPr>
              <w:t xml:space="preserve">Examples for Eligible Funding </w:t>
            </w:r>
          </w:p>
        </w:tc>
      </w:tr>
      <w:tr w:rsidR="00D811D0" w:rsidRPr="00092337" w14:paraId="3A1EEC17" w14:textId="77777777" w:rsidTr="008F366F">
        <w:trPr>
          <w:trHeight w:val="1223"/>
        </w:trPr>
        <w:tc>
          <w:tcPr>
            <w:tcW w:w="8880" w:type="dxa"/>
            <w:vAlign w:val="center"/>
          </w:tcPr>
          <w:p w14:paraId="5857C49F" w14:textId="77777777" w:rsidR="00D811D0" w:rsidRPr="00092337" w:rsidRDefault="00D811D0" w:rsidP="002E309F">
            <w:pPr>
              <w:pStyle w:val="NoSpacing"/>
              <w:ind w:right="-59"/>
              <w:rPr>
                <w:szCs w:val="24"/>
              </w:rPr>
            </w:pPr>
            <w:r w:rsidRPr="00092337">
              <w:rPr>
                <w:szCs w:val="24"/>
              </w:rPr>
              <w:t xml:space="preserve">On-campus event involving the collaboration of two more organizations while embodying the values of Texas State University. Collaboration is defined that all organizations contribute financially. Student organization that collaborate must submit a separate Collaboration Funding application for the co-sponsored event. </w:t>
            </w:r>
          </w:p>
        </w:tc>
      </w:tr>
      <w:tr w:rsidR="00D811D0" w:rsidRPr="00092337" w14:paraId="670A497B" w14:textId="77777777" w:rsidTr="008F366F">
        <w:trPr>
          <w:trHeight w:val="530"/>
        </w:trPr>
        <w:tc>
          <w:tcPr>
            <w:tcW w:w="8880" w:type="dxa"/>
            <w:vAlign w:val="center"/>
          </w:tcPr>
          <w:p w14:paraId="4F541083" w14:textId="77777777" w:rsidR="00D811D0" w:rsidRPr="00092337" w:rsidRDefault="00D811D0" w:rsidP="00BE1A92">
            <w:pPr>
              <w:pStyle w:val="NoSpacing"/>
              <w:ind w:right="31"/>
              <w:rPr>
                <w:szCs w:val="24"/>
              </w:rPr>
            </w:pPr>
            <w:r w:rsidRPr="00092337">
              <w:rPr>
                <w:szCs w:val="24"/>
              </w:rPr>
              <w:t xml:space="preserve">Funding that will benefit the progress and quantifiable success for the organization. </w:t>
            </w:r>
          </w:p>
        </w:tc>
      </w:tr>
      <w:tr w:rsidR="00D811D0" w:rsidRPr="00092337" w14:paraId="10853B16" w14:textId="77777777" w:rsidTr="008F366F">
        <w:trPr>
          <w:trHeight w:val="638"/>
        </w:trPr>
        <w:tc>
          <w:tcPr>
            <w:tcW w:w="8880" w:type="dxa"/>
            <w:vAlign w:val="center"/>
          </w:tcPr>
          <w:p w14:paraId="10B1D000" w14:textId="77777777" w:rsidR="00D811D0" w:rsidRPr="00092337" w:rsidRDefault="00D811D0" w:rsidP="00A43A74">
            <w:pPr>
              <w:pStyle w:val="NoSpacing"/>
              <w:ind w:right="31"/>
              <w:rPr>
                <w:szCs w:val="24"/>
              </w:rPr>
            </w:pPr>
            <w:r w:rsidRPr="00092337">
              <w:rPr>
                <w:szCs w:val="24"/>
              </w:rPr>
              <w:t>Attending or presenting at a</w:t>
            </w:r>
            <w:r>
              <w:rPr>
                <w:szCs w:val="24"/>
              </w:rPr>
              <w:t xml:space="preserve"> virtual </w:t>
            </w:r>
            <w:r w:rsidRPr="00092337">
              <w:rPr>
                <w:szCs w:val="24"/>
              </w:rPr>
              <w:t>conference/workshop that will benefit the student organization. Please see bullet VIII. for Conference Registration Funding regulation.</w:t>
            </w:r>
          </w:p>
        </w:tc>
      </w:tr>
      <w:tr w:rsidR="00D811D0" w:rsidRPr="00092337" w14:paraId="2C7F45E9" w14:textId="77777777" w:rsidTr="008F366F">
        <w:trPr>
          <w:trHeight w:val="611"/>
        </w:trPr>
        <w:tc>
          <w:tcPr>
            <w:tcW w:w="8880" w:type="dxa"/>
            <w:shd w:val="clear" w:color="auto" w:fill="auto"/>
            <w:vAlign w:val="center"/>
          </w:tcPr>
          <w:p w14:paraId="62387F7A" w14:textId="77777777" w:rsidR="00D811D0" w:rsidRPr="00092337" w:rsidRDefault="00D811D0" w:rsidP="00686BC2">
            <w:pPr>
              <w:pStyle w:val="NoSpacing"/>
              <w:ind w:right="-149"/>
              <w:rPr>
                <w:szCs w:val="24"/>
              </w:rPr>
            </w:pPr>
            <w:r w:rsidRPr="00092337">
              <w:rPr>
                <w:szCs w:val="24"/>
              </w:rPr>
              <w:t>Funding for general meetings: t-shirts, office/art supplies</w:t>
            </w:r>
            <w:r>
              <w:rPr>
                <w:szCs w:val="24"/>
              </w:rPr>
              <w:t>, etc.</w:t>
            </w:r>
          </w:p>
        </w:tc>
      </w:tr>
    </w:tbl>
    <w:p w14:paraId="29A9C646" w14:textId="77777777" w:rsidR="00FA6839" w:rsidRPr="00092337" w:rsidRDefault="00FA6839" w:rsidP="00FA6839">
      <w:pPr>
        <w:pStyle w:val="NoSpacing"/>
        <w:ind w:right="-360"/>
        <w:rPr>
          <w:szCs w:val="24"/>
        </w:rPr>
      </w:pPr>
    </w:p>
    <w:p w14:paraId="712841F8" w14:textId="77777777" w:rsidR="00EB4CFB" w:rsidRPr="00092337" w:rsidRDefault="00EB4CFB" w:rsidP="00FA6839">
      <w:pPr>
        <w:pStyle w:val="NoSpacing"/>
        <w:rPr>
          <w:i/>
          <w:szCs w:val="24"/>
        </w:rPr>
      </w:pPr>
      <w:r w:rsidRPr="00092337">
        <w:rPr>
          <w:i/>
          <w:szCs w:val="24"/>
        </w:rPr>
        <w:t xml:space="preserve">* A maximum of TWO </w:t>
      </w:r>
      <w:r w:rsidR="00D811D0" w:rsidRPr="00092337">
        <w:rPr>
          <w:i/>
          <w:szCs w:val="24"/>
        </w:rPr>
        <w:t>applications will</w:t>
      </w:r>
      <w:r w:rsidR="00D811D0">
        <w:rPr>
          <w:i/>
          <w:szCs w:val="24"/>
        </w:rPr>
        <w:t xml:space="preserve"> be considered</w:t>
      </w:r>
      <w:r w:rsidRPr="00092337">
        <w:rPr>
          <w:i/>
          <w:szCs w:val="24"/>
        </w:rPr>
        <w:t xml:space="preserve"> </w:t>
      </w:r>
      <w:r w:rsidR="00BE1A92" w:rsidRPr="00092337">
        <w:rPr>
          <w:i/>
          <w:szCs w:val="24"/>
        </w:rPr>
        <w:t>by each student organization</w:t>
      </w:r>
      <w:r w:rsidRPr="00092337">
        <w:rPr>
          <w:i/>
          <w:szCs w:val="24"/>
        </w:rPr>
        <w:t xml:space="preserve"> to SOC per academic year.</w:t>
      </w:r>
    </w:p>
    <w:p w14:paraId="3077BF6E" w14:textId="77777777" w:rsidR="004110F5" w:rsidRPr="00092337" w:rsidRDefault="004110F5" w:rsidP="00FA6839">
      <w:pPr>
        <w:pStyle w:val="NoSpacing"/>
        <w:rPr>
          <w:i/>
          <w:szCs w:val="24"/>
        </w:rPr>
      </w:pPr>
    </w:p>
    <w:p w14:paraId="7CF7AE02" w14:textId="77777777" w:rsidR="007D646E" w:rsidRPr="00092337" w:rsidRDefault="00686BC2" w:rsidP="00FA6839">
      <w:pPr>
        <w:pStyle w:val="NoSpacing"/>
        <w:rPr>
          <w:b/>
          <w:szCs w:val="24"/>
        </w:rPr>
      </w:pPr>
      <w:r w:rsidRPr="00092337">
        <w:rPr>
          <w:b/>
          <w:szCs w:val="24"/>
        </w:rPr>
        <w:t xml:space="preserve">IV. </w:t>
      </w:r>
      <w:r w:rsidR="007D646E" w:rsidRPr="00092337">
        <w:rPr>
          <w:b/>
          <w:szCs w:val="24"/>
        </w:rPr>
        <w:t>Reimbursement Definition</w:t>
      </w:r>
    </w:p>
    <w:p w14:paraId="44DB74C4" w14:textId="77777777" w:rsidR="004110F5" w:rsidRPr="00092337" w:rsidRDefault="007D646E" w:rsidP="004110F5">
      <w:pPr>
        <w:pStyle w:val="NoSpacing"/>
        <w:numPr>
          <w:ilvl w:val="0"/>
          <w:numId w:val="11"/>
        </w:numPr>
        <w:rPr>
          <w:b/>
          <w:szCs w:val="24"/>
        </w:rPr>
      </w:pPr>
      <w:r w:rsidRPr="00092337">
        <w:rPr>
          <w:szCs w:val="24"/>
        </w:rPr>
        <w:t>Funding is on a reimbursement basis. A reimbursement is a repayment for money your organization ha</w:t>
      </w:r>
      <w:r w:rsidR="004110F5" w:rsidRPr="00092337">
        <w:rPr>
          <w:szCs w:val="24"/>
        </w:rPr>
        <w:t>s</w:t>
      </w:r>
      <w:r w:rsidRPr="00092337">
        <w:rPr>
          <w:szCs w:val="24"/>
        </w:rPr>
        <w:t xml:space="preserve"> already spent. </w:t>
      </w:r>
    </w:p>
    <w:p w14:paraId="321B6EBA" w14:textId="77777777" w:rsidR="004110F5" w:rsidRPr="00092337" w:rsidRDefault="004110F5" w:rsidP="004110F5">
      <w:pPr>
        <w:pStyle w:val="NoSpacing"/>
        <w:ind w:left="720"/>
        <w:rPr>
          <w:b/>
          <w:szCs w:val="24"/>
        </w:rPr>
      </w:pPr>
    </w:p>
    <w:p w14:paraId="6173A225" w14:textId="77777777" w:rsidR="00686BC2" w:rsidRPr="00092337" w:rsidRDefault="007D646E" w:rsidP="00FA6839">
      <w:pPr>
        <w:pStyle w:val="NoSpacing"/>
        <w:rPr>
          <w:szCs w:val="24"/>
        </w:rPr>
      </w:pPr>
      <w:r w:rsidRPr="00092337">
        <w:rPr>
          <w:b/>
          <w:szCs w:val="24"/>
        </w:rPr>
        <w:t xml:space="preserve">V. </w:t>
      </w:r>
      <w:r w:rsidR="00686BC2" w:rsidRPr="00092337">
        <w:rPr>
          <w:b/>
          <w:szCs w:val="24"/>
        </w:rPr>
        <w:t>Funding Priorities</w:t>
      </w:r>
    </w:p>
    <w:p w14:paraId="2C2057B5" w14:textId="77777777" w:rsidR="00686BC2" w:rsidRPr="00092337" w:rsidRDefault="00CE04B1" w:rsidP="00686BC2">
      <w:pPr>
        <w:pStyle w:val="NoSpacing"/>
        <w:numPr>
          <w:ilvl w:val="0"/>
          <w:numId w:val="2"/>
        </w:numPr>
        <w:rPr>
          <w:szCs w:val="24"/>
        </w:rPr>
      </w:pPr>
      <w:r w:rsidRPr="00092337">
        <w:rPr>
          <w:szCs w:val="24"/>
        </w:rPr>
        <w:t>SOC</w:t>
      </w:r>
      <w:r w:rsidR="00686BC2" w:rsidRPr="00092337">
        <w:rPr>
          <w:szCs w:val="24"/>
        </w:rPr>
        <w:t xml:space="preserve"> funding </w:t>
      </w:r>
      <w:r w:rsidRPr="00092337">
        <w:rPr>
          <w:szCs w:val="24"/>
        </w:rPr>
        <w:t>is</w:t>
      </w:r>
      <w:r w:rsidR="00686BC2" w:rsidRPr="00092337">
        <w:rPr>
          <w:szCs w:val="24"/>
        </w:rPr>
        <w:t xml:space="preserve"> distributed to organizations planning leadership development program, co-curricular educational events, and campus</w:t>
      </w:r>
      <w:r w:rsidRPr="00092337">
        <w:rPr>
          <w:szCs w:val="24"/>
        </w:rPr>
        <w:t xml:space="preserve"> wide</w:t>
      </w:r>
      <w:r w:rsidR="00686BC2" w:rsidRPr="00092337">
        <w:rPr>
          <w:szCs w:val="24"/>
        </w:rPr>
        <w:t xml:space="preserve"> activities. </w:t>
      </w:r>
    </w:p>
    <w:p w14:paraId="6FD194AA" w14:textId="77777777" w:rsidR="00686BC2" w:rsidRPr="00092337" w:rsidRDefault="00686BC2" w:rsidP="00686BC2">
      <w:pPr>
        <w:pStyle w:val="NoSpacing"/>
        <w:numPr>
          <w:ilvl w:val="0"/>
          <w:numId w:val="2"/>
        </w:numPr>
        <w:rPr>
          <w:szCs w:val="24"/>
        </w:rPr>
      </w:pPr>
      <w:r w:rsidRPr="00092337">
        <w:rPr>
          <w:szCs w:val="24"/>
        </w:rPr>
        <w:t xml:space="preserve">Funding for conference registrations must demonstrate </w:t>
      </w:r>
      <w:r w:rsidR="004110F5" w:rsidRPr="00092337">
        <w:rPr>
          <w:szCs w:val="24"/>
        </w:rPr>
        <w:t xml:space="preserve">as </w:t>
      </w:r>
      <w:r w:rsidRPr="00092337">
        <w:rPr>
          <w:szCs w:val="24"/>
        </w:rPr>
        <w:t>hav</w:t>
      </w:r>
      <w:r w:rsidR="004110F5" w:rsidRPr="00092337">
        <w:rPr>
          <w:szCs w:val="24"/>
        </w:rPr>
        <w:t>ing</w:t>
      </w:r>
      <w:r w:rsidRPr="00092337">
        <w:rPr>
          <w:szCs w:val="24"/>
        </w:rPr>
        <w:t xml:space="preserve"> a potential benefit to the organi</w:t>
      </w:r>
      <w:r w:rsidR="004110F5" w:rsidRPr="00092337">
        <w:rPr>
          <w:szCs w:val="24"/>
        </w:rPr>
        <w:t>zation and university</w:t>
      </w:r>
      <w:r w:rsidRPr="00092337">
        <w:rPr>
          <w:szCs w:val="24"/>
        </w:rPr>
        <w:t xml:space="preserve">. </w:t>
      </w:r>
    </w:p>
    <w:p w14:paraId="56413CC3" w14:textId="77777777" w:rsidR="00686BC2" w:rsidRPr="00092337" w:rsidRDefault="00686BC2" w:rsidP="00686BC2">
      <w:pPr>
        <w:pStyle w:val="NoSpacing"/>
        <w:numPr>
          <w:ilvl w:val="0"/>
          <w:numId w:val="2"/>
        </w:numPr>
        <w:rPr>
          <w:szCs w:val="24"/>
        </w:rPr>
      </w:pPr>
      <w:r w:rsidRPr="00092337">
        <w:rPr>
          <w:szCs w:val="24"/>
        </w:rPr>
        <w:t>SOC funding is on a first-come, first-serve basis.</w:t>
      </w:r>
    </w:p>
    <w:p w14:paraId="1FC4DA2F" w14:textId="77777777" w:rsidR="00092337" w:rsidRPr="00092337" w:rsidRDefault="00092337" w:rsidP="00092337">
      <w:pPr>
        <w:pStyle w:val="NoSpacing"/>
        <w:ind w:left="360"/>
        <w:rPr>
          <w:b/>
          <w:szCs w:val="24"/>
        </w:rPr>
      </w:pPr>
    </w:p>
    <w:p w14:paraId="5DF312A4" w14:textId="77777777" w:rsidR="00FA6839" w:rsidRPr="00092337" w:rsidRDefault="00686BC2" w:rsidP="00092337">
      <w:pPr>
        <w:pStyle w:val="NoSpacing"/>
        <w:rPr>
          <w:b/>
          <w:szCs w:val="24"/>
        </w:rPr>
      </w:pPr>
      <w:r w:rsidRPr="00092337">
        <w:rPr>
          <w:b/>
          <w:szCs w:val="24"/>
        </w:rPr>
        <w:t>V</w:t>
      </w:r>
      <w:r w:rsidR="007D646E" w:rsidRPr="00092337">
        <w:rPr>
          <w:b/>
          <w:szCs w:val="24"/>
        </w:rPr>
        <w:t>I</w:t>
      </w:r>
      <w:r w:rsidRPr="00092337">
        <w:rPr>
          <w:b/>
          <w:szCs w:val="24"/>
        </w:rPr>
        <w:t>. Funding Restrictions</w:t>
      </w:r>
    </w:p>
    <w:p w14:paraId="511F080D" w14:textId="77777777" w:rsidR="00092337" w:rsidRPr="00092337" w:rsidRDefault="00686BC2" w:rsidP="00092337">
      <w:pPr>
        <w:pStyle w:val="NoSpacing"/>
        <w:rPr>
          <w:szCs w:val="24"/>
        </w:rPr>
      </w:pPr>
      <w:r w:rsidRPr="00092337">
        <w:rPr>
          <w:szCs w:val="24"/>
        </w:rPr>
        <w:t>The following restrictions apply:</w:t>
      </w:r>
    </w:p>
    <w:p w14:paraId="2E84B8D5" w14:textId="77777777" w:rsidR="00686BC2" w:rsidRPr="00092337" w:rsidRDefault="00686BC2" w:rsidP="00686BC2">
      <w:pPr>
        <w:pStyle w:val="NoSpacing"/>
        <w:numPr>
          <w:ilvl w:val="0"/>
          <w:numId w:val="3"/>
        </w:numPr>
        <w:rPr>
          <w:szCs w:val="24"/>
        </w:rPr>
      </w:pPr>
      <w:r w:rsidRPr="00092337">
        <w:rPr>
          <w:szCs w:val="24"/>
        </w:rPr>
        <w:t xml:space="preserve">SOC will </w:t>
      </w:r>
      <w:r w:rsidRPr="00092337">
        <w:rPr>
          <w:b/>
          <w:szCs w:val="24"/>
        </w:rPr>
        <w:t xml:space="preserve">NOT </w:t>
      </w:r>
      <w:r w:rsidRPr="00092337">
        <w:rPr>
          <w:szCs w:val="24"/>
        </w:rPr>
        <w:t>reimburse for the following expenses:</w:t>
      </w:r>
    </w:p>
    <w:p w14:paraId="34B3A29D" w14:textId="77777777" w:rsidR="0021059A" w:rsidRPr="00092337" w:rsidRDefault="0021059A" w:rsidP="0021059A">
      <w:pPr>
        <w:pStyle w:val="NoSpacing"/>
        <w:numPr>
          <w:ilvl w:val="1"/>
          <w:numId w:val="3"/>
        </w:numPr>
        <w:rPr>
          <w:szCs w:val="24"/>
        </w:rPr>
      </w:pPr>
      <w:r w:rsidRPr="00092337">
        <w:rPr>
          <w:szCs w:val="24"/>
        </w:rPr>
        <w:t>Events/programs not open to the Texas State students</w:t>
      </w:r>
    </w:p>
    <w:p w14:paraId="6A7235B4" w14:textId="77777777" w:rsidR="00686BC2" w:rsidRPr="00092337" w:rsidRDefault="00686BC2" w:rsidP="00686BC2">
      <w:pPr>
        <w:pStyle w:val="NoSpacing"/>
        <w:numPr>
          <w:ilvl w:val="1"/>
          <w:numId w:val="3"/>
        </w:numPr>
        <w:rPr>
          <w:szCs w:val="24"/>
        </w:rPr>
      </w:pPr>
      <w:r w:rsidRPr="00092337">
        <w:rPr>
          <w:szCs w:val="24"/>
        </w:rPr>
        <w:t>Meals consumed during off-campus conferences/travel</w:t>
      </w:r>
    </w:p>
    <w:p w14:paraId="3A831DF9" w14:textId="77777777" w:rsidR="00686BC2" w:rsidRPr="00092337" w:rsidRDefault="002E309F" w:rsidP="00686BC2">
      <w:pPr>
        <w:pStyle w:val="NoSpacing"/>
        <w:numPr>
          <w:ilvl w:val="1"/>
          <w:numId w:val="3"/>
        </w:numPr>
        <w:rPr>
          <w:szCs w:val="24"/>
        </w:rPr>
      </w:pPr>
      <w:r w:rsidRPr="00092337">
        <w:rPr>
          <w:szCs w:val="24"/>
        </w:rPr>
        <w:lastRenderedPageBreak/>
        <w:t xml:space="preserve">Gas, airfare, rental car </w:t>
      </w:r>
      <w:r w:rsidR="00686BC2" w:rsidRPr="00092337">
        <w:rPr>
          <w:szCs w:val="24"/>
        </w:rPr>
        <w:t>expenses for travel</w:t>
      </w:r>
    </w:p>
    <w:p w14:paraId="53219C4B" w14:textId="77777777" w:rsidR="002E309F" w:rsidRPr="00092337" w:rsidRDefault="002E309F" w:rsidP="00686BC2">
      <w:pPr>
        <w:pStyle w:val="NoSpacing"/>
        <w:numPr>
          <w:ilvl w:val="1"/>
          <w:numId w:val="3"/>
        </w:numPr>
        <w:rPr>
          <w:szCs w:val="24"/>
        </w:rPr>
      </w:pPr>
      <w:r w:rsidRPr="00092337">
        <w:rPr>
          <w:szCs w:val="24"/>
        </w:rPr>
        <w:t>Lodging/Hotel expenses</w:t>
      </w:r>
    </w:p>
    <w:p w14:paraId="4B75C3FC" w14:textId="77777777" w:rsidR="00686BC2" w:rsidRPr="00092337" w:rsidRDefault="00686BC2" w:rsidP="00686BC2">
      <w:pPr>
        <w:pStyle w:val="NoSpacing"/>
        <w:numPr>
          <w:ilvl w:val="1"/>
          <w:numId w:val="3"/>
        </w:numPr>
        <w:rPr>
          <w:szCs w:val="24"/>
        </w:rPr>
      </w:pPr>
      <w:r w:rsidRPr="00092337">
        <w:rPr>
          <w:b/>
          <w:szCs w:val="24"/>
        </w:rPr>
        <w:t xml:space="preserve">ANY </w:t>
      </w:r>
      <w:r w:rsidRPr="00092337">
        <w:rPr>
          <w:szCs w:val="24"/>
        </w:rPr>
        <w:t>alcoholic beverages or receipts that include alcoholic beverages</w:t>
      </w:r>
    </w:p>
    <w:p w14:paraId="7FEC731C" w14:textId="77777777" w:rsidR="00686BC2" w:rsidRPr="00092337" w:rsidRDefault="00686BC2" w:rsidP="00686BC2">
      <w:pPr>
        <w:pStyle w:val="NoSpacing"/>
        <w:numPr>
          <w:ilvl w:val="1"/>
          <w:numId w:val="3"/>
        </w:numPr>
        <w:rPr>
          <w:szCs w:val="24"/>
        </w:rPr>
      </w:pPr>
      <w:r w:rsidRPr="00092337">
        <w:rPr>
          <w:szCs w:val="24"/>
        </w:rPr>
        <w:t>Gratuities (tips)</w:t>
      </w:r>
    </w:p>
    <w:p w14:paraId="2D08EDD6" w14:textId="77777777" w:rsidR="00686BC2" w:rsidRPr="00092337" w:rsidRDefault="004110F5" w:rsidP="00686BC2">
      <w:pPr>
        <w:pStyle w:val="NoSpacing"/>
        <w:numPr>
          <w:ilvl w:val="1"/>
          <w:numId w:val="3"/>
        </w:numPr>
        <w:rPr>
          <w:szCs w:val="24"/>
        </w:rPr>
      </w:pPr>
      <w:r w:rsidRPr="00092337">
        <w:rPr>
          <w:szCs w:val="24"/>
        </w:rPr>
        <w:t>State of Texas</w:t>
      </w:r>
      <w:r w:rsidR="00686BC2" w:rsidRPr="00092337">
        <w:rPr>
          <w:szCs w:val="24"/>
        </w:rPr>
        <w:t xml:space="preserve"> sales tax</w:t>
      </w:r>
    </w:p>
    <w:p w14:paraId="4A98FD8A" w14:textId="77777777" w:rsidR="00686BC2" w:rsidRPr="00092337" w:rsidRDefault="00686BC2" w:rsidP="00686BC2">
      <w:pPr>
        <w:pStyle w:val="NoSpacing"/>
        <w:numPr>
          <w:ilvl w:val="1"/>
          <w:numId w:val="3"/>
        </w:numPr>
        <w:rPr>
          <w:szCs w:val="24"/>
        </w:rPr>
      </w:pPr>
      <w:r w:rsidRPr="00092337">
        <w:rPr>
          <w:szCs w:val="24"/>
        </w:rPr>
        <w:t>Gift cards</w:t>
      </w:r>
    </w:p>
    <w:p w14:paraId="6A4365F5" w14:textId="77777777" w:rsidR="002E309F" w:rsidRPr="00092337" w:rsidRDefault="00686BC2" w:rsidP="002E309F">
      <w:pPr>
        <w:pStyle w:val="NoSpacing"/>
        <w:numPr>
          <w:ilvl w:val="1"/>
          <w:numId w:val="3"/>
        </w:numPr>
        <w:rPr>
          <w:szCs w:val="24"/>
        </w:rPr>
      </w:pPr>
      <w:r w:rsidRPr="00092337">
        <w:rPr>
          <w:b/>
          <w:szCs w:val="24"/>
        </w:rPr>
        <w:t xml:space="preserve">ANY </w:t>
      </w:r>
      <w:r w:rsidRPr="00092337">
        <w:rPr>
          <w:szCs w:val="24"/>
        </w:rPr>
        <w:t>personal expenses</w:t>
      </w:r>
    </w:p>
    <w:p w14:paraId="36AB4524" w14:textId="77777777" w:rsidR="00092337" w:rsidRDefault="00092337" w:rsidP="002E309F">
      <w:pPr>
        <w:pStyle w:val="NoSpacing"/>
        <w:numPr>
          <w:ilvl w:val="1"/>
          <w:numId w:val="3"/>
        </w:numPr>
        <w:rPr>
          <w:szCs w:val="24"/>
        </w:rPr>
      </w:pPr>
      <w:r w:rsidRPr="00D811D0">
        <w:rPr>
          <w:b/>
          <w:szCs w:val="24"/>
        </w:rPr>
        <w:t xml:space="preserve">ANY </w:t>
      </w:r>
      <w:r w:rsidRPr="00D811D0">
        <w:rPr>
          <w:bCs/>
          <w:szCs w:val="24"/>
        </w:rPr>
        <w:t>events that include traveling</w:t>
      </w:r>
      <w:r w:rsidRPr="00D811D0">
        <w:rPr>
          <w:szCs w:val="24"/>
        </w:rPr>
        <w:t xml:space="preserve"> due to COVID-19</w:t>
      </w:r>
    </w:p>
    <w:p w14:paraId="63884773" w14:textId="77777777" w:rsidR="00D811D0" w:rsidRPr="00D811D0" w:rsidRDefault="00D811D0" w:rsidP="002E309F">
      <w:pPr>
        <w:pStyle w:val="NoSpacing"/>
        <w:numPr>
          <w:ilvl w:val="1"/>
          <w:numId w:val="3"/>
        </w:numPr>
        <w:rPr>
          <w:bCs/>
          <w:szCs w:val="24"/>
        </w:rPr>
      </w:pPr>
      <w:r>
        <w:rPr>
          <w:b/>
          <w:szCs w:val="24"/>
        </w:rPr>
        <w:t xml:space="preserve">ANY </w:t>
      </w:r>
      <w:r w:rsidRPr="00D811D0">
        <w:rPr>
          <w:bCs/>
          <w:szCs w:val="24"/>
        </w:rPr>
        <w:t>events that don’t follow COVID guidelines</w:t>
      </w:r>
    </w:p>
    <w:p w14:paraId="7E29EAA7" w14:textId="77777777" w:rsidR="00686BC2" w:rsidRPr="00092337" w:rsidRDefault="00686BC2" w:rsidP="00686BC2">
      <w:pPr>
        <w:pStyle w:val="NoSpacing"/>
        <w:numPr>
          <w:ilvl w:val="0"/>
          <w:numId w:val="3"/>
        </w:numPr>
        <w:rPr>
          <w:szCs w:val="24"/>
        </w:rPr>
      </w:pPr>
      <w:r w:rsidRPr="00092337">
        <w:rPr>
          <w:szCs w:val="24"/>
        </w:rPr>
        <w:t>All contracts must be reviewed by the Institution at least 30 university days prior to services being rendered</w:t>
      </w:r>
      <w:r w:rsidR="008F366F">
        <w:rPr>
          <w:szCs w:val="24"/>
        </w:rPr>
        <w:t>.</w:t>
      </w:r>
    </w:p>
    <w:p w14:paraId="291C0DBE" w14:textId="77777777" w:rsidR="00686BC2" w:rsidRPr="00092337" w:rsidRDefault="00686BC2" w:rsidP="00686BC2">
      <w:pPr>
        <w:pStyle w:val="NoSpacing"/>
        <w:numPr>
          <w:ilvl w:val="0"/>
          <w:numId w:val="3"/>
        </w:numPr>
        <w:rPr>
          <w:szCs w:val="24"/>
        </w:rPr>
      </w:pPr>
      <w:r w:rsidRPr="00092337">
        <w:rPr>
          <w:szCs w:val="24"/>
        </w:rPr>
        <w:t xml:space="preserve">Programs or events intended for or resulting in a profit for the organization will </w:t>
      </w:r>
      <w:r w:rsidRPr="00092337">
        <w:rPr>
          <w:b/>
          <w:szCs w:val="24"/>
        </w:rPr>
        <w:t xml:space="preserve">NOT </w:t>
      </w:r>
      <w:r w:rsidRPr="00092337">
        <w:rPr>
          <w:szCs w:val="24"/>
        </w:rPr>
        <w:t>receive funding (i.e., benefits, fundraisers, charity events.)</w:t>
      </w:r>
    </w:p>
    <w:p w14:paraId="3447FC47" w14:textId="77777777" w:rsidR="002E309F" w:rsidRPr="00092337" w:rsidRDefault="002E309F" w:rsidP="00686BC2">
      <w:pPr>
        <w:pStyle w:val="NoSpacing"/>
        <w:numPr>
          <w:ilvl w:val="0"/>
          <w:numId w:val="3"/>
        </w:numPr>
        <w:rPr>
          <w:szCs w:val="24"/>
        </w:rPr>
      </w:pPr>
      <w:r w:rsidRPr="00092337">
        <w:rPr>
          <w:szCs w:val="24"/>
        </w:rPr>
        <w:t xml:space="preserve">SOC </w:t>
      </w:r>
      <w:r w:rsidR="0025752D" w:rsidRPr="00092337">
        <w:rPr>
          <w:b/>
          <w:szCs w:val="24"/>
        </w:rPr>
        <w:t>DOES NOT</w:t>
      </w:r>
      <w:r w:rsidRPr="00092337">
        <w:rPr>
          <w:b/>
          <w:szCs w:val="24"/>
        </w:rPr>
        <w:t xml:space="preserve"> </w:t>
      </w:r>
      <w:r w:rsidRPr="00092337">
        <w:rPr>
          <w:szCs w:val="24"/>
        </w:rPr>
        <w:t xml:space="preserve">reimburse </w:t>
      </w:r>
      <w:r w:rsidRPr="00092337">
        <w:rPr>
          <w:szCs w:val="24"/>
          <w:u w:val="single"/>
        </w:rPr>
        <w:t>university departments</w:t>
      </w:r>
      <w:r w:rsidRPr="00092337">
        <w:rPr>
          <w:szCs w:val="24"/>
        </w:rPr>
        <w:t xml:space="preserve"> or </w:t>
      </w:r>
      <w:r w:rsidRPr="00092337">
        <w:rPr>
          <w:szCs w:val="24"/>
          <w:u w:val="single"/>
        </w:rPr>
        <w:t>organization advisors</w:t>
      </w:r>
      <w:r w:rsidR="0025752D" w:rsidRPr="00092337">
        <w:rPr>
          <w:szCs w:val="24"/>
        </w:rPr>
        <w:t xml:space="preserve"> per regulations derived from the Texas State University S</w:t>
      </w:r>
      <w:r w:rsidRPr="00092337">
        <w:rPr>
          <w:szCs w:val="24"/>
        </w:rPr>
        <w:t xml:space="preserve">ystem. </w:t>
      </w:r>
    </w:p>
    <w:p w14:paraId="48A609DB" w14:textId="77777777" w:rsidR="002E309F" w:rsidRPr="00092337" w:rsidRDefault="002E309F" w:rsidP="002E309F">
      <w:pPr>
        <w:pStyle w:val="NoSpacing"/>
        <w:rPr>
          <w:szCs w:val="24"/>
        </w:rPr>
      </w:pPr>
    </w:p>
    <w:p w14:paraId="24D4FD23" w14:textId="77777777" w:rsidR="002E309F" w:rsidRPr="00092337" w:rsidRDefault="002E309F" w:rsidP="002E309F">
      <w:pPr>
        <w:pStyle w:val="NoSpacing"/>
        <w:rPr>
          <w:b/>
          <w:szCs w:val="24"/>
        </w:rPr>
      </w:pPr>
      <w:r w:rsidRPr="00092337">
        <w:rPr>
          <w:b/>
          <w:szCs w:val="24"/>
        </w:rPr>
        <w:t>V</w:t>
      </w:r>
      <w:r w:rsidR="007D646E" w:rsidRPr="00092337">
        <w:rPr>
          <w:b/>
          <w:szCs w:val="24"/>
        </w:rPr>
        <w:t>I</w:t>
      </w:r>
      <w:r w:rsidRPr="00092337">
        <w:rPr>
          <w:b/>
          <w:szCs w:val="24"/>
        </w:rPr>
        <w:t>I. Notification</w:t>
      </w:r>
    </w:p>
    <w:p w14:paraId="19FFF4BE" w14:textId="77777777" w:rsidR="002E309F" w:rsidRPr="00092337" w:rsidRDefault="002E309F" w:rsidP="002E309F">
      <w:pPr>
        <w:pStyle w:val="NoSpacing"/>
        <w:rPr>
          <w:szCs w:val="24"/>
        </w:rPr>
      </w:pPr>
      <w:r w:rsidRPr="00092337">
        <w:rPr>
          <w:szCs w:val="24"/>
        </w:rPr>
        <w:t xml:space="preserve">SOC funding approval/denial letters will be sent via email to the student organization’s president, treasurer, and advisors within </w:t>
      </w:r>
      <w:r w:rsidRPr="00092337">
        <w:rPr>
          <w:b/>
          <w:szCs w:val="24"/>
        </w:rPr>
        <w:t xml:space="preserve">10 university days </w:t>
      </w:r>
      <w:r w:rsidRPr="00092337">
        <w:rPr>
          <w:szCs w:val="24"/>
        </w:rPr>
        <w:t>of the decision. Any further instructions will be provided in the letter.</w:t>
      </w:r>
    </w:p>
    <w:p w14:paraId="0B5CEC60" w14:textId="77777777" w:rsidR="002E309F" w:rsidRPr="00092337" w:rsidRDefault="002E309F" w:rsidP="002E309F">
      <w:pPr>
        <w:pStyle w:val="NoSpacing"/>
        <w:rPr>
          <w:szCs w:val="24"/>
        </w:rPr>
      </w:pPr>
    </w:p>
    <w:p w14:paraId="06E4E011" w14:textId="77777777" w:rsidR="002E309F" w:rsidRPr="00092337" w:rsidRDefault="002E309F" w:rsidP="002E309F">
      <w:pPr>
        <w:pStyle w:val="BodyTextIndent"/>
        <w:spacing w:after="0"/>
        <w:ind w:left="0" w:right="-360"/>
        <w:rPr>
          <w:rFonts w:cstheme="minorHAnsi"/>
          <w:b/>
          <w:bCs/>
          <w:color w:val="000000"/>
          <w:szCs w:val="24"/>
        </w:rPr>
      </w:pPr>
      <w:r w:rsidRPr="00092337">
        <w:rPr>
          <w:rFonts w:cstheme="minorHAnsi"/>
          <w:b/>
          <w:bCs/>
          <w:color w:val="000000"/>
          <w:szCs w:val="24"/>
        </w:rPr>
        <w:t>V</w:t>
      </w:r>
      <w:r w:rsidR="007D646E" w:rsidRPr="00092337">
        <w:rPr>
          <w:rFonts w:cstheme="minorHAnsi"/>
          <w:b/>
          <w:bCs/>
          <w:color w:val="000000"/>
          <w:szCs w:val="24"/>
        </w:rPr>
        <w:t>I</w:t>
      </w:r>
      <w:r w:rsidRPr="00092337">
        <w:rPr>
          <w:rFonts w:cstheme="minorHAnsi"/>
          <w:b/>
          <w:bCs/>
          <w:color w:val="000000"/>
          <w:szCs w:val="24"/>
        </w:rPr>
        <w:t xml:space="preserve">II. Additional Information Request. </w:t>
      </w:r>
    </w:p>
    <w:p w14:paraId="1574A0B4" w14:textId="77777777" w:rsidR="002E309F" w:rsidRPr="00092337" w:rsidRDefault="002E309F" w:rsidP="002E309F">
      <w:pPr>
        <w:pStyle w:val="BodyTextIndent"/>
        <w:spacing w:after="0"/>
        <w:ind w:left="0" w:right="-360"/>
        <w:rPr>
          <w:rFonts w:eastAsia="Batang" w:cstheme="minorHAnsi"/>
          <w:szCs w:val="24"/>
        </w:rPr>
      </w:pPr>
      <w:r w:rsidRPr="00092337">
        <w:rPr>
          <w:rFonts w:cstheme="minorHAnsi"/>
          <w:i/>
          <w:iCs/>
          <w:color w:val="000000"/>
          <w:szCs w:val="24"/>
        </w:rPr>
        <w:t xml:space="preserve">SOC may request additional information prior to making a decision. Below are common </w:t>
      </w:r>
      <w:r w:rsidR="0025752D" w:rsidRPr="00092337">
        <w:rPr>
          <w:rFonts w:cstheme="minorHAnsi"/>
          <w:i/>
          <w:iCs/>
          <w:color w:val="000000"/>
          <w:szCs w:val="24"/>
        </w:rPr>
        <w:t>factors to consider</w:t>
      </w:r>
      <w:r w:rsidRPr="00092337">
        <w:rPr>
          <w:rFonts w:cstheme="minorHAnsi"/>
          <w:i/>
          <w:iCs/>
          <w:color w:val="000000"/>
          <w:szCs w:val="24"/>
        </w:rPr>
        <w:t>:</w:t>
      </w:r>
    </w:p>
    <w:p w14:paraId="3645D988" w14:textId="77777777" w:rsidR="002E309F" w:rsidRPr="00092337" w:rsidRDefault="002E309F" w:rsidP="002E309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092337">
        <w:rPr>
          <w:rFonts w:cstheme="minorHAnsi"/>
          <w:color w:val="000000"/>
          <w:szCs w:val="24"/>
        </w:rPr>
        <w:t>Approximate number of Texas State participants</w:t>
      </w:r>
      <w:r w:rsidR="00CE04B1" w:rsidRPr="00092337">
        <w:rPr>
          <w:rFonts w:cstheme="minorHAnsi"/>
          <w:color w:val="000000"/>
          <w:szCs w:val="24"/>
        </w:rPr>
        <w:t>?</w:t>
      </w:r>
    </w:p>
    <w:p w14:paraId="30B6FC77" w14:textId="77777777" w:rsidR="002E309F" w:rsidRPr="00092337" w:rsidRDefault="002E309F" w:rsidP="002E309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092337">
        <w:rPr>
          <w:rFonts w:cstheme="minorHAnsi"/>
          <w:color w:val="000000"/>
          <w:szCs w:val="24"/>
        </w:rPr>
        <w:t>Describe target audience</w:t>
      </w:r>
      <w:r w:rsidR="00CE04B1" w:rsidRPr="00092337">
        <w:rPr>
          <w:rFonts w:cstheme="minorHAnsi"/>
          <w:color w:val="000000"/>
          <w:szCs w:val="24"/>
        </w:rPr>
        <w:t>.</w:t>
      </w:r>
    </w:p>
    <w:p w14:paraId="770034B3" w14:textId="77777777" w:rsidR="002E309F" w:rsidRPr="00092337" w:rsidRDefault="0025752D" w:rsidP="002E309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092337">
        <w:rPr>
          <w:rFonts w:cstheme="minorHAnsi"/>
          <w:color w:val="000000"/>
          <w:szCs w:val="24"/>
        </w:rPr>
        <w:t>If there is a selection process for participations; h</w:t>
      </w:r>
      <w:r w:rsidR="002E309F" w:rsidRPr="00092337">
        <w:rPr>
          <w:rFonts w:cstheme="minorHAnsi"/>
          <w:color w:val="000000"/>
          <w:szCs w:val="24"/>
        </w:rPr>
        <w:t xml:space="preserve">ow do applicants qualify to participate? </w:t>
      </w:r>
    </w:p>
    <w:p w14:paraId="5DF29E34" w14:textId="77777777" w:rsidR="002E309F" w:rsidRPr="00092337" w:rsidRDefault="002E309F" w:rsidP="002E309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092337">
        <w:rPr>
          <w:rFonts w:cstheme="minorHAnsi"/>
          <w:color w:val="000000"/>
          <w:szCs w:val="24"/>
        </w:rPr>
        <w:t>What benefits will accrue to participants as a result of participation in the activity/project?</w:t>
      </w:r>
    </w:p>
    <w:p w14:paraId="3FAC0F60" w14:textId="77777777" w:rsidR="002E309F" w:rsidRPr="00092337" w:rsidRDefault="002E309F" w:rsidP="002E309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092337">
        <w:rPr>
          <w:rFonts w:cstheme="minorHAnsi"/>
          <w:color w:val="000000"/>
          <w:szCs w:val="24"/>
        </w:rPr>
        <w:t>What benefits will accrue to Texas State as a result of the activity/project?</w:t>
      </w:r>
    </w:p>
    <w:p w14:paraId="46D6B196" w14:textId="77777777" w:rsidR="002E309F" w:rsidRPr="00092337" w:rsidRDefault="002E309F" w:rsidP="002E309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092337">
        <w:rPr>
          <w:rFonts w:cstheme="minorHAnsi"/>
          <w:color w:val="000000"/>
          <w:szCs w:val="24"/>
        </w:rPr>
        <w:t xml:space="preserve">If this committee does not grant sufficient funding, how will </w:t>
      </w:r>
      <w:r w:rsidR="00CE04B1" w:rsidRPr="00092337">
        <w:rPr>
          <w:rFonts w:cstheme="minorHAnsi"/>
          <w:color w:val="000000"/>
          <w:szCs w:val="24"/>
        </w:rPr>
        <w:t>organization</w:t>
      </w:r>
      <w:r w:rsidRPr="00092337">
        <w:rPr>
          <w:rFonts w:cstheme="minorHAnsi"/>
          <w:color w:val="000000"/>
          <w:szCs w:val="24"/>
        </w:rPr>
        <w:t xml:space="preserve"> be affected?</w:t>
      </w:r>
    </w:p>
    <w:p w14:paraId="3567ADEC" w14:textId="77777777" w:rsidR="007D646E" w:rsidRPr="00092337" w:rsidRDefault="002E309F" w:rsidP="007D646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Cs w:val="24"/>
        </w:rPr>
      </w:pPr>
      <w:r w:rsidRPr="00092337">
        <w:rPr>
          <w:rFonts w:cstheme="minorHAnsi"/>
          <w:color w:val="000000"/>
          <w:szCs w:val="24"/>
        </w:rPr>
        <w:t>Are there any other factors you would like the SOC committee to consider?</w:t>
      </w:r>
    </w:p>
    <w:p w14:paraId="6587F5D2" w14:textId="77777777" w:rsidR="00CE04B1" w:rsidRPr="00092337" w:rsidRDefault="00CE04B1" w:rsidP="00CE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cstheme="minorHAnsi"/>
          <w:color w:val="000000"/>
          <w:szCs w:val="24"/>
        </w:rPr>
      </w:pPr>
    </w:p>
    <w:p w14:paraId="2BEE773F" w14:textId="77777777" w:rsidR="002E309F" w:rsidRPr="00092337" w:rsidRDefault="007D646E" w:rsidP="002E309F">
      <w:pPr>
        <w:pStyle w:val="BodyTextIndent"/>
        <w:spacing w:after="0"/>
        <w:ind w:left="0" w:right="-360"/>
        <w:rPr>
          <w:rFonts w:cstheme="minorHAnsi"/>
          <w:b/>
          <w:bCs/>
          <w:color w:val="000000"/>
          <w:szCs w:val="24"/>
        </w:rPr>
      </w:pPr>
      <w:r w:rsidRPr="00092337">
        <w:rPr>
          <w:rFonts w:cstheme="minorHAnsi"/>
          <w:b/>
          <w:bCs/>
          <w:color w:val="000000"/>
          <w:szCs w:val="24"/>
        </w:rPr>
        <w:t>IX</w:t>
      </w:r>
      <w:r w:rsidR="002E309F" w:rsidRPr="00092337">
        <w:rPr>
          <w:rFonts w:cstheme="minorHAnsi"/>
          <w:b/>
          <w:bCs/>
          <w:color w:val="000000"/>
          <w:szCs w:val="24"/>
        </w:rPr>
        <w:t>. Regulations for Conference Registration Funding</w:t>
      </w:r>
    </w:p>
    <w:p w14:paraId="76616C52" w14:textId="77777777" w:rsidR="00092337" w:rsidRPr="00092337" w:rsidRDefault="00092337" w:rsidP="002E309F">
      <w:pPr>
        <w:pStyle w:val="BodyTextIndent"/>
        <w:spacing w:after="0"/>
        <w:ind w:left="0" w:right="-360"/>
        <w:rPr>
          <w:rFonts w:cstheme="minorHAnsi"/>
          <w:b/>
          <w:bCs/>
          <w:color w:val="000000"/>
          <w:szCs w:val="24"/>
        </w:rPr>
      </w:pPr>
    </w:p>
    <w:p w14:paraId="12858E16" w14:textId="77777777" w:rsidR="00092337" w:rsidRPr="008F366F" w:rsidRDefault="00092337" w:rsidP="00092337">
      <w:pPr>
        <w:pStyle w:val="NoSpacing"/>
        <w:jc w:val="center"/>
        <w:rPr>
          <w:b/>
          <w:bCs/>
          <w:szCs w:val="24"/>
          <w:highlight w:val="yellow"/>
        </w:rPr>
      </w:pPr>
      <w:r w:rsidRPr="008F366F">
        <w:rPr>
          <w:b/>
          <w:bCs/>
          <w:szCs w:val="24"/>
          <w:highlight w:val="yellow"/>
        </w:rPr>
        <w:t xml:space="preserve">** DUE TO COVID-19, CONFERENCES IN PERSON </w:t>
      </w:r>
      <w:r w:rsidR="008F366F">
        <w:rPr>
          <w:b/>
          <w:bCs/>
          <w:szCs w:val="24"/>
          <w:highlight w:val="yellow"/>
        </w:rPr>
        <w:t>ARE</w:t>
      </w:r>
      <w:r w:rsidRPr="008F366F">
        <w:rPr>
          <w:b/>
          <w:bCs/>
          <w:szCs w:val="24"/>
          <w:highlight w:val="yellow"/>
        </w:rPr>
        <w:t xml:space="preserve"> NOT AVAILABLE. </w:t>
      </w:r>
    </w:p>
    <w:p w14:paraId="28A8A50E" w14:textId="77777777" w:rsidR="00092337" w:rsidRPr="008F366F" w:rsidRDefault="00092337" w:rsidP="00092337">
      <w:pPr>
        <w:pStyle w:val="NoSpacing"/>
        <w:jc w:val="center"/>
        <w:rPr>
          <w:b/>
          <w:bCs/>
          <w:szCs w:val="24"/>
        </w:rPr>
      </w:pPr>
      <w:r w:rsidRPr="008F366F">
        <w:rPr>
          <w:b/>
          <w:bCs/>
          <w:szCs w:val="24"/>
          <w:highlight w:val="yellow"/>
        </w:rPr>
        <w:t>TO ACCOM</w:t>
      </w:r>
      <w:r w:rsidR="00D811D0" w:rsidRPr="008F366F">
        <w:rPr>
          <w:b/>
          <w:bCs/>
          <w:szCs w:val="24"/>
          <w:highlight w:val="yellow"/>
        </w:rPr>
        <w:t>MO</w:t>
      </w:r>
      <w:r w:rsidRPr="008F366F">
        <w:rPr>
          <w:b/>
          <w:bCs/>
          <w:szCs w:val="24"/>
          <w:highlight w:val="yellow"/>
        </w:rPr>
        <w:t>DATE FUNDING WILL BE AVAILABLE FOR VIRTUAL CONFERENCES**</w:t>
      </w:r>
    </w:p>
    <w:p w14:paraId="68D0D35D" w14:textId="77777777" w:rsidR="002E309F" w:rsidRPr="00092337" w:rsidRDefault="002E309F" w:rsidP="00092337">
      <w:pPr>
        <w:spacing w:line="240" w:lineRule="auto"/>
        <w:rPr>
          <w:rFonts w:cstheme="minorHAnsi"/>
          <w:b/>
          <w:iCs/>
          <w:szCs w:val="24"/>
        </w:rPr>
      </w:pPr>
    </w:p>
    <w:p w14:paraId="2E49895A" w14:textId="77777777" w:rsidR="002E309F" w:rsidRPr="00092337" w:rsidRDefault="001677FE" w:rsidP="00092337">
      <w:pPr>
        <w:spacing w:line="240" w:lineRule="auto"/>
        <w:rPr>
          <w:rFonts w:cstheme="minorHAnsi"/>
          <w:b/>
          <w:iCs/>
          <w:szCs w:val="24"/>
        </w:rPr>
      </w:pPr>
      <w:r w:rsidRPr="00092337">
        <w:rPr>
          <w:rFonts w:cstheme="minorHAnsi"/>
          <w:b/>
          <w:iCs/>
          <w:szCs w:val="24"/>
        </w:rPr>
        <w:t xml:space="preserve">X. </w:t>
      </w:r>
      <w:r w:rsidR="002E309F" w:rsidRPr="00092337">
        <w:rPr>
          <w:rFonts w:cstheme="minorHAnsi"/>
          <w:b/>
          <w:iCs/>
          <w:szCs w:val="24"/>
        </w:rPr>
        <w:t xml:space="preserve">Reimbursement and Pre-Payments. </w:t>
      </w:r>
      <w:r w:rsidRPr="00092337">
        <w:rPr>
          <w:rFonts w:cstheme="minorHAnsi"/>
          <w:b/>
          <w:iCs/>
          <w:szCs w:val="24"/>
        </w:rPr>
        <w:br/>
      </w:r>
      <w:r w:rsidR="002E309F" w:rsidRPr="00092337">
        <w:rPr>
          <w:rFonts w:cstheme="minorHAnsi"/>
          <w:i/>
          <w:szCs w:val="24"/>
        </w:rPr>
        <w:t>No reimbursement will be processed after July 31</w:t>
      </w:r>
      <w:r w:rsidR="002E309F" w:rsidRPr="00092337">
        <w:rPr>
          <w:rFonts w:cstheme="minorHAnsi"/>
          <w:i/>
          <w:szCs w:val="24"/>
          <w:vertAlign w:val="superscript"/>
        </w:rPr>
        <w:t>st</w:t>
      </w:r>
      <w:r w:rsidR="002E309F" w:rsidRPr="00092337">
        <w:rPr>
          <w:rFonts w:cstheme="minorHAnsi"/>
          <w:i/>
          <w:szCs w:val="24"/>
        </w:rPr>
        <w:t xml:space="preserve"> of each fiscal year. All funds allocated within a fiscal year, must be reimbursed within that fiscal year.</w:t>
      </w:r>
    </w:p>
    <w:p w14:paraId="5627111E" w14:textId="77777777" w:rsidR="002E309F" w:rsidRPr="00092337" w:rsidRDefault="002E309F" w:rsidP="002E309F">
      <w:pPr>
        <w:numPr>
          <w:ilvl w:val="0"/>
          <w:numId w:val="5"/>
        </w:numPr>
        <w:spacing w:after="0" w:line="240" w:lineRule="auto"/>
        <w:rPr>
          <w:rFonts w:cstheme="minorHAnsi"/>
          <w:szCs w:val="24"/>
        </w:rPr>
      </w:pPr>
      <w:r w:rsidRPr="00092337">
        <w:rPr>
          <w:rFonts w:cstheme="minorHAnsi"/>
          <w:szCs w:val="24"/>
        </w:rPr>
        <w:t xml:space="preserve">If </w:t>
      </w:r>
      <w:r w:rsidRPr="00092337">
        <w:rPr>
          <w:rFonts w:cstheme="minorHAnsi"/>
          <w:b/>
          <w:szCs w:val="24"/>
        </w:rPr>
        <w:t>pre-payment</w:t>
      </w:r>
      <w:r w:rsidRPr="00092337">
        <w:rPr>
          <w:rFonts w:cstheme="minorHAnsi"/>
          <w:szCs w:val="24"/>
        </w:rPr>
        <w:t xml:space="preserve"> is required for an approved expense, the organization must contact the SOC advisor at least </w:t>
      </w:r>
      <w:r w:rsidRPr="00092337">
        <w:rPr>
          <w:rFonts w:cstheme="minorHAnsi"/>
          <w:b/>
          <w:szCs w:val="24"/>
        </w:rPr>
        <w:t>30 university days</w:t>
      </w:r>
      <w:r w:rsidRPr="00092337">
        <w:rPr>
          <w:rFonts w:cstheme="minorHAnsi"/>
          <w:szCs w:val="24"/>
        </w:rPr>
        <w:t xml:space="preserve"> </w:t>
      </w:r>
      <w:r w:rsidRPr="00092337">
        <w:rPr>
          <w:rFonts w:cstheme="minorHAnsi"/>
          <w:b/>
          <w:szCs w:val="24"/>
        </w:rPr>
        <w:t>in advance</w:t>
      </w:r>
      <w:r w:rsidRPr="00092337">
        <w:rPr>
          <w:rFonts w:cstheme="minorHAnsi"/>
          <w:szCs w:val="24"/>
        </w:rPr>
        <w:t xml:space="preserve"> of required payment.</w:t>
      </w:r>
    </w:p>
    <w:p w14:paraId="33C89A6B" w14:textId="77777777" w:rsidR="002E309F" w:rsidRPr="00092337" w:rsidRDefault="002E309F" w:rsidP="002E309F">
      <w:pPr>
        <w:numPr>
          <w:ilvl w:val="0"/>
          <w:numId w:val="5"/>
        </w:numPr>
        <w:spacing w:after="0" w:line="240" w:lineRule="auto"/>
        <w:rPr>
          <w:rFonts w:cstheme="minorHAnsi"/>
          <w:szCs w:val="24"/>
        </w:rPr>
      </w:pPr>
      <w:r w:rsidRPr="00092337">
        <w:rPr>
          <w:rFonts w:cstheme="minorHAnsi"/>
          <w:b/>
          <w:szCs w:val="24"/>
        </w:rPr>
        <w:t xml:space="preserve">Itemized invoices </w:t>
      </w:r>
      <w:r w:rsidR="004C1B73" w:rsidRPr="00092337">
        <w:rPr>
          <w:rFonts w:cstheme="minorHAnsi"/>
          <w:b/>
          <w:szCs w:val="24"/>
        </w:rPr>
        <w:t xml:space="preserve">with a zero balance </w:t>
      </w:r>
      <w:r w:rsidRPr="00092337">
        <w:rPr>
          <w:rFonts w:cstheme="minorHAnsi"/>
          <w:b/>
          <w:szCs w:val="24"/>
        </w:rPr>
        <w:t>or original receipts</w:t>
      </w:r>
      <w:r w:rsidRPr="00092337">
        <w:rPr>
          <w:rFonts w:cstheme="minorHAnsi"/>
          <w:szCs w:val="24"/>
        </w:rPr>
        <w:t xml:space="preserve"> must be submitted to the Student Involvement front desk within </w:t>
      </w:r>
      <w:r w:rsidRPr="00092337">
        <w:rPr>
          <w:rFonts w:cstheme="minorHAnsi"/>
          <w:b/>
          <w:szCs w:val="24"/>
        </w:rPr>
        <w:t>10 university days</w:t>
      </w:r>
      <w:r w:rsidRPr="00092337">
        <w:rPr>
          <w:rFonts w:cstheme="minorHAnsi"/>
          <w:szCs w:val="24"/>
        </w:rPr>
        <w:t xml:space="preserve"> of the event/program/travel or else funding will be forfeited.</w:t>
      </w:r>
    </w:p>
    <w:p w14:paraId="31D8D1A4" w14:textId="77777777" w:rsidR="002E309F" w:rsidRPr="00092337" w:rsidRDefault="002E309F" w:rsidP="002E309F">
      <w:pPr>
        <w:numPr>
          <w:ilvl w:val="0"/>
          <w:numId w:val="5"/>
        </w:numPr>
        <w:spacing w:after="0" w:line="240" w:lineRule="auto"/>
        <w:rPr>
          <w:rFonts w:cstheme="minorHAnsi"/>
          <w:szCs w:val="24"/>
        </w:rPr>
      </w:pPr>
      <w:r w:rsidRPr="00092337">
        <w:rPr>
          <w:rFonts w:cstheme="minorHAnsi"/>
          <w:szCs w:val="24"/>
        </w:rPr>
        <w:t>Reimbursements will only be issued to the payee on invoice or receipt.</w:t>
      </w:r>
    </w:p>
    <w:p w14:paraId="65EF4117" w14:textId="77777777" w:rsidR="002E309F" w:rsidRPr="00092337" w:rsidRDefault="002E309F" w:rsidP="002E309F">
      <w:pPr>
        <w:numPr>
          <w:ilvl w:val="0"/>
          <w:numId w:val="5"/>
        </w:numPr>
        <w:spacing w:after="0" w:line="240" w:lineRule="auto"/>
        <w:rPr>
          <w:rFonts w:cstheme="minorHAnsi"/>
          <w:szCs w:val="24"/>
        </w:rPr>
      </w:pPr>
      <w:r w:rsidRPr="00092337">
        <w:rPr>
          <w:rFonts w:cstheme="minorHAnsi"/>
          <w:szCs w:val="24"/>
        </w:rPr>
        <w:t>Attach supporting documents, such as fliers, for on campus events or programs.</w:t>
      </w:r>
    </w:p>
    <w:p w14:paraId="26A0F842" w14:textId="77777777" w:rsidR="002E309F" w:rsidRPr="00092337" w:rsidRDefault="002E309F" w:rsidP="002E309F">
      <w:pPr>
        <w:numPr>
          <w:ilvl w:val="0"/>
          <w:numId w:val="5"/>
        </w:numPr>
        <w:spacing w:after="0" w:line="240" w:lineRule="auto"/>
        <w:rPr>
          <w:rFonts w:cstheme="minorHAnsi"/>
          <w:szCs w:val="24"/>
        </w:rPr>
      </w:pPr>
      <w:r w:rsidRPr="00092337">
        <w:rPr>
          <w:rFonts w:cstheme="minorHAnsi"/>
          <w:szCs w:val="24"/>
        </w:rPr>
        <w:t>If attending a conference, attach the agenda/schedule of events and a copy of the conference registration forms for all participants.</w:t>
      </w:r>
    </w:p>
    <w:p w14:paraId="0860BAD8" w14:textId="77777777" w:rsidR="002E309F" w:rsidRPr="00092337" w:rsidRDefault="002E309F" w:rsidP="002E309F">
      <w:pPr>
        <w:numPr>
          <w:ilvl w:val="0"/>
          <w:numId w:val="5"/>
        </w:numPr>
        <w:spacing w:after="0" w:line="240" w:lineRule="auto"/>
        <w:rPr>
          <w:rFonts w:cstheme="minorHAnsi"/>
          <w:szCs w:val="24"/>
        </w:rPr>
      </w:pPr>
      <w:r w:rsidRPr="00092337">
        <w:rPr>
          <w:rFonts w:cstheme="minorHAnsi"/>
          <w:szCs w:val="24"/>
        </w:rPr>
        <w:lastRenderedPageBreak/>
        <w:t xml:space="preserve">All vendors/individuals to be paid for goods and services must have a vendor code assigned by Texas State University. In order to ensure that the vendor has been assigned a code, a Vendor Maintenance Agreement form </w:t>
      </w:r>
      <w:r w:rsidR="004C1B73" w:rsidRPr="00092337">
        <w:rPr>
          <w:rFonts w:cstheme="minorHAnsi"/>
          <w:szCs w:val="24"/>
        </w:rPr>
        <w:t xml:space="preserve">must be submitted </w:t>
      </w:r>
      <w:r w:rsidRPr="00092337">
        <w:rPr>
          <w:rFonts w:cstheme="minorHAnsi"/>
          <w:szCs w:val="24"/>
        </w:rPr>
        <w:t>in addition to funding request.</w:t>
      </w:r>
    </w:p>
    <w:p w14:paraId="01ECB329" w14:textId="77777777" w:rsidR="00092337" w:rsidRPr="00092337" w:rsidRDefault="00092337" w:rsidP="00092337">
      <w:pPr>
        <w:pStyle w:val="NormalWeb"/>
        <w:rPr>
          <w:rFonts w:asciiTheme="minorHAnsi" w:hAnsiTheme="minorHAnsi"/>
          <w:sz w:val="22"/>
          <w:szCs w:val="22"/>
        </w:rPr>
      </w:pPr>
      <w:r w:rsidRPr="00092337">
        <w:rPr>
          <w:rFonts w:asciiTheme="minorHAnsi" w:hAnsiTheme="minorHAnsi" w:cs="Arial"/>
          <w:b/>
          <w:bCs/>
          <w:sz w:val="22"/>
          <w:szCs w:val="22"/>
        </w:rPr>
        <w:t xml:space="preserve">XI. Appeal Process for Funding Decisions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092337">
        <w:rPr>
          <w:rFonts w:asciiTheme="minorHAnsi" w:hAnsiTheme="minorHAnsi"/>
          <w:sz w:val="22"/>
          <w:szCs w:val="22"/>
        </w:rPr>
        <w:t xml:space="preserve">Student Organizations may appeal SOC’s funding decision. The student organization must email the reason for requesting the SOC decision appeal to </w:t>
      </w:r>
      <w:r w:rsidR="00D811D0">
        <w:rPr>
          <w:rFonts w:asciiTheme="minorHAnsi" w:hAnsiTheme="minorHAnsi"/>
          <w:sz w:val="22"/>
          <w:szCs w:val="22"/>
        </w:rPr>
        <w:t xml:space="preserve">Associate </w:t>
      </w:r>
      <w:r w:rsidRPr="00092337">
        <w:rPr>
          <w:rFonts w:asciiTheme="minorHAnsi" w:hAnsiTheme="minorHAnsi"/>
          <w:sz w:val="22"/>
          <w:szCs w:val="22"/>
        </w:rPr>
        <w:t xml:space="preserve">Director of Student Involvement, Student Organizations Council, within </w:t>
      </w:r>
      <w:r w:rsidRPr="00092337">
        <w:rPr>
          <w:rFonts w:asciiTheme="minorHAnsi" w:hAnsiTheme="minorHAnsi" w:cs="Arial"/>
          <w:b/>
          <w:bCs/>
          <w:sz w:val="22"/>
          <w:szCs w:val="22"/>
        </w:rPr>
        <w:t xml:space="preserve">5 University business days </w:t>
      </w:r>
      <w:r w:rsidRPr="00092337">
        <w:rPr>
          <w:rFonts w:asciiTheme="minorHAnsi" w:hAnsiTheme="minorHAnsi"/>
          <w:sz w:val="22"/>
          <w:szCs w:val="22"/>
        </w:rPr>
        <w:t xml:space="preserve">after the Student Organization Council’s decision. </w:t>
      </w:r>
    </w:p>
    <w:p w14:paraId="70A1D255" w14:textId="77777777" w:rsidR="00092337" w:rsidRPr="00092337" w:rsidRDefault="00092337" w:rsidP="00092337">
      <w:pPr>
        <w:pStyle w:val="NormalWeb"/>
        <w:rPr>
          <w:rFonts w:asciiTheme="minorHAnsi" w:hAnsiTheme="minorHAnsi"/>
          <w:sz w:val="22"/>
          <w:szCs w:val="22"/>
        </w:rPr>
      </w:pPr>
      <w:r w:rsidRPr="00092337">
        <w:rPr>
          <w:rFonts w:asciiTheme="minorHAnsi" w:hAnsiTheme="minorHAnsi"/>
          <w:sz w:val="22"/>
          <w:szCs w:val="22"/>
        </w:rPr>
        <w:t xml:space="preserve">If a second appeal is requested, the organization will meet with the Associate Director of Student Involvement within </w:t>
      </w:r>
      <w:r w:rsidRPr="00092337">
        <w:rPr>
          <w:rFonts w:asciiTheme="minorHAnsi" w:hAnsiTheme="minorHAnsi" w:cs="Arial"/>
          <w:b/>
          <w:bCs/>
          <w:sz w:val="22"/>
          <w:szCs w:val="22"/>
        </w:rPr>
        <w:t xml:space="preserve">5 University business days </w:t>
      </w:r>
      <w:r w:rsidRPr="00092337">
        <w:rPr>
          <w:rFonts w:asciiTheme="minorHAnsi" w:hAnsiTheme="minorHAnsi"/>
          <w:sz w:val="22"/>
          <w:szCs w:val="22"/>
        </w:rPr>
        <w:t xml:space="preserve">after the Assistant Director’s decision. </w:t>
      </w:r>
    </w:p>
    <w:p w14:paraId="0B0EE7B1" w14:textId="77777777" w:rsidR="00092337" w:rsidRPr="00092337" w:rsidRDefault="00092337" w:rsidP="00092337">
      <w:pPr>
        <w:spacing w:after="0" w:line="240" w:lineRule="auto"/>
        <w:rPr>
          <w:rFonts w:cstheme="minorHAnsi"/>
          <w:szCs w:val="24"/>
        </w:rPr>
      </w:pPr>
    </w:p>
    <w:p w14:paraId="55DB2F91" w14:textId="77777777" w:rsidR="0006702C" w:rsidRPr="00092337" w:rsidRDefault="0006702C" w:rsidP="0006702C">
      <w:pPr>
        <w:spacing w:after="0" w:line="240" w:lineRule="auto"/>
        <w:rPr>
          <w:rFonts w:cstheme="minorHAnsi"/>
          <w:szCs w:val="24"/>
        </w:rPr>
      </w:pPr>
    </w:p>
    <w:p w14:paraId="54BCA557" w14:textId="77777777" w:rsidR="0006702C" w:rsidRPr="00092337" w:rsidRDefault="0006702C" w:rsidP="0006702C">
      <w:pPr>
        <w:spacing w:after="0" w:line="240" w:lineRule="auto"/>
        <w:rPr>
          <w:rFonts w:cstheme="minorHAnsi"/>
          <w:b/>
          <w:szCs w:val="24"/>
        </w:rPr>
      </w:pPr>
      <w:r w:rsidRPr="00092337">
        <w:rPr>
          <w:rFonts w:cstheme="minorHAnsi"/>
          <w:b/>
          <w:szCs w:val="24"/>
        </w:rPr>
        <w:t>X</w:t>
      </w:r>
      <w:r w:rsidR="007D646E" w:rsidRPr="00092337">
        <w:rPr>
          <w:rFonts w:cstheme="minorHAnsi"/>
          <w:b/>
          <w:szCs w:val="24"/>
        </w:rPr>
        <w:t>I</w:t>
      </w:r>
      <w:r w:rsidR="00092337" w:rsidRPr="00092337">
        <w:rPr>
          <w:rFonts w:cstheme="minorHAnsi"/>
          <w:b/>
          <w:szCs w:val="24"/>
        </w:rPr>
        <w:t>I</w:t>
      </w:r>
      <w:r w:rsidRPr="00092337">
        <w:rPr>
          <w:rFonts w:cstheme="minorHAnsi"/>
          <w:b/>
          <w:szCs w:val="24"/>
        </w:rPr>
        <w:t>. 20</w:t>
      </w:r>
      <w:r w:rsidR="00092337" w:rsidRPr="00092337">
        <w:rPr>
          <w:rFonts w:cstheme="minorHAnsi"/>
          <w:b/>
          <w:szCs w:val="24"/>
        </w:rPr>
        <w:t>20</w:t>
      </w:r>
      <w:r w:rsidRPr="00092337">
        <w:rPr>
          <w:rFonts w:cstheme="minorHAnsi"/>
          <w:b/>
          <w:szCs w:val="24"/>
        </w:rPr>
        <w:t>-20</w:t>
      </w:r>
      <w:r w:rsidR="00092337" w:rsidRPr="00092337">
        <w:rPr>
          <w:rFonts w:cstheme="minorHAnsi"/>
          <w:b/>
          <w:szCs w:val="24"/>
        </w:rPr>
        <w:t>21</w:t>
      </w:r>
      <w:r w:rsidRPr="00092337">
        <w:rPr>
          <w:rFonts w:cstheme="minorHAnsi"/>
          <w:b/>
          <w:szCs w:val="24"/>
        </w:rPr>
        <w:t xml:space="preserve"> Funding Deadlines</w:t>
      </w:r>
    </w:p>
    <w:p w14:paraId="641FE860" w14:textId="77777777" w:rsidR="00092337" w:rsidRPr="00092337" w:rsidRDefault="00092337" w:rsidP="0006702C">
      <w:pPr>
        <w:spacing w:after="0" w:line="240" w:lineRule="auto"/>
        <w:rPr>
          <w:rFonts w:cstheme="minorHAnsi"/>
          <w:bCs/>
          <w:szCs w:val="24"/>
          <w:u w:val="single"/>
        </w:rPr>
      </w:pPr>
      <w:r w:rsidRPr="00092337">
        <w:rPr>
          <w:rFonts w:cstheme="minorHAnsi"/>
          <w:bCs/>
          <w:szCs w:val="24"/>
          <w:u w:val="single"/>
        </w:rPr>
        <w:t>Fall 2020</w:t>
      </w:r>
    </w:p>
    <w:p w14:paraId="372288B0" w14:textId="77777777" w:rsidR="0006702C" w:rsidRPr="00D811D0" w:rsidRDefault="0006702C" w:rsidP="0006702C">
      <w:pPr>
        <w:spacing w:after="0" w:line="240" w:lineRule="auto"/>
        <w:rPr>
          <w:rFonts w:cstheme="minorHAnsi"/>
          <w:b/>
          <w:bCs/>
          <w:szCs w:val="24"/>
        </w:rPr>
      </w:pPr>
      <w:r w:rsidRPr="00D811D0">
        <w:rPr>
          <w:rFonts w:cstheme="minorHAnsi"/>
          <w:szCs w:val="24"/>
        </w:rPr>
        <w:t xml:space="preserve">Monday, </w:t>
      </w:r>
      <w:r w:rsidR="00D811D0">
        <w:rPr>
          <w:rFonts w:cstheme="minorHAnsi"/>
          <w:szCs w:val="24"/>
        </w:rPr>
        <w:t>September</w:t>
      </w:r>
      <w:r w:rsidRPr="00D811D0">
        <w:rPr>
          <w:rFonts w:cstheme="minorHAnsi"/>
          <w:szCs w:val="24"/>
        </w:rPr>
        <w:t xml:space="preserve"> </w:t>
      </w:r>
      <w:r w:rsidR="00D811D0">
        <w:rPr>
          <w:rFonts w:cstheme="minorHAnsi"/>
          <w:szCs w:val="24"/>
        </w:rPr>
        <w:t>28</w:t>
      </w:r>
      <w:r w:rsidR="00092337" w:rsidRPr="00D811D0">
        <w:rPr>
          <w:rFonts w:cstheme="minorHAnsi"/>
          <w:szCs w:val="24"/>
        </w:rPr>
        <w:t>th</w:t>
      </w:r>
      <w:r w:rsidRPr="00D811D0">
        <w:rPr>
          <w:rFonts w:cstheme="minorHAnsi"/>
          <w:szCs w:val="24"/>
        </w:rPr>
        <w:t>, 20</w:t>
      </w:r>
      <w:r w:rsidR="00092337" w:rsidRPr="00D811D0">
        <w:rPr>
          <w:rFonts w:cstheme="minorHAnsi"/>
          <w:szCs w:val="24"/>
        </w:rPr>
        <w:t>20</w:t>
      </w:r>
      <w:r w:rsidRPr="00D811D0">
        <w:rPr>
          <w:rFonts w:cstheme="minorHAnsi"/>
          <w:szCs w:val="24"/>
        </w:rPr>
        <w:t>: Fall Semester Funding Opens</w:t>
      </w:r>
    </w:p>
    <w:p w14:paraId="42E28B4C" w14:textId="77777777" w:rsidR="00D811D0" w:rsidRDefault="0006702C" w:rsidP="0006702C">
      <w:pPr>
        <w:spacing w:after="0" w:line="240" w:lineRule="auto"/>
        <w:rPr>
          <w:rFonts w:cstheme="minorHAnsi"/>
          <w:szCs w:val="24"/>
        </w:rPr>
      </w:pPr>
      <w:r w:rsidRPr="00D811D0">
        <w:rPr>
          <w:rFonts w:cstheme="minorHAnsi"/>
          <w:szCs w:val="24"/>
        </w:rPr>
        <w:t xml:space="preserve">Monday, </w:t>
      </w:r>
      <w:r w:rsidR="00D811D0">
        <w:rPr>
          <w:rFonts w:cstheme="minorHAnsi"/>
          <w:szCs w:val="24"/>
        </w:rPr>
        <w:t>December</w:t>
      </w:r>
      <w:r w:rsidRPr="00D811D0">
        <w:rPr>
          <w:rFonts w:cstheme="minorHAnsi"/>
          <w:szCs w:val="24"/>
        </w:rPr>
        <w:t xml:space="preserve"> </w:t>
      </w:r>
      <w:r w:rsidR="00D811D0">
        <w:rPr>
          <w:rFonts w:cstheme="minorHAnsi"/>
          <w:szCs w:val="24"/>
        </w:rPr>
        <w:t>7</w:t>
      </w:r>
      <w:r w:rsidRPr="00D811D0">
        <w:rPr>
          <w:rFonts w:cstheme="minorHAnsi"/>
          <w:szCs w:val="24"/>
          <w:vertAlign w:val="superscript"/>
        </w:rPr>
        <w:t>th</w:t>
      </w:r>
      <w:r w:rsidRPr="00D811D0">
        <w:rPr>
          <w:rFonts w:cstheme="minorHAnsi"/>
          <w:szCs w:val="24"/>
        </w:rPr>
        <w:t>,</w:t>
      </w:r>
      <w:r w:rsidRPr="00092337">
        <w:rPr>
          <w:rFonts w:cstheme="minorHAnsi"/>
          <w:szCs w:val="24"/>
        </w:rPr>
        <w:t xml:space="preserve"> 20</w:t>
      </w:r>
      <w:r w:rsidR="00092337" w:rsidRPr="00092337">
        <w:rPr>
          <w:rFonts w:cstheme="minorHAnsi"/>
          <w:szCs w:val="24"/>
        </w:rPr>
        <w:t>20</w:t>
      </w:r>
      <w:r w:rsidRPr="00092337">
        <w:rPr>
          <w:rFonts w:cstheme="minorHAnsi"/>
          <w:szCs w:val="24"/>
        </w:rPr>
        <w:t>: Fall Semester Funding Closes</w:t>
      </w:r>
      <w:r w:rsidR="00D811D0">
        <w:rPr>
          <w:rFonts w:cstheme="minorHAnsi"/>
          <w:szCs w:val="24"/>
        </w:rPr>
        <w:t xml:space="preserve"> *</w:t>
      </w:r>
      <w:r w:rsidR="008F366F">
        <w:rPr>
          <w:rFonts w:cstheme="minorHAnsi"/>
          <w:szCs w:val="24"/>
        </w:rPr>
        <w:t>*</w:t>
      </w:r>
    </w:p>
    <w:p w14:paraId="0806C7C4" w14:textId="77777777" w:rsidR="00D811D0" w:rsidRPr="00092337" w:rsidRDefault="00D811D0" w:rsidP="0006702C">
      <w:pPr>
        <w:spacing w:after="0" w:line="240" w:lineRule="auto"/>
        <w:rPr>
          <w:rFonts w:cstheme="minorHAnsi"/>
          <w:szCs w:val="24"/>
        </w:rPr>
      </w:pPr>
      <w:r>
        <w:rPr>
          <w:rFonts w:cstheme="minorHAnsi"/>
          <w:szCs w:val="24"/>
        </w:rPr>
        <w:tab/>
      </w:r>
      <w:r w:rsidR="008F366F">
        <w:rPr>
          <w:rFonts w:cstheme="minorHAnsi"/>
          <w:szCs w:val="24"/>
        </w:rPr>
        <w:t>*</w:t>
      </w:r>
      <w:r>
        <w:rPr>
          <w:rFonts w:cstheme="minorHAnsi"/>
          <w:szCs w:val="24"/>
        </w:rPr>
        <w:t>*</w:t>
      </w:r>
      <w:r w:rsidRPr="00D811D0">
        <w:rPr>
          <w:rFonts w:cstheme="minorHAnsi"/>
          <w:b/>
          <w:bCs/>
          <w:szCs w:val="24"/>
        </w:rPr>
        <w:t xml:space="preserve">Unless </w:t>
      </w:r>
      <w:r>
        <w:rPr>
          <w:rFonts w:cstheme="minorHAnsi"/>
          <w:b/>
          <w:bCs/>
          <w:szCs w:val="24"/>
        </w:rPr>
        <w:t>O</w:t>
      </w:r>
      <w:r w:rsidRPr="00D811D0">
        <w:rPr>
          <w:rFonts w:cstheme="minorHAnsi"/>
          <w:b/>
          <w:bCs/>
          <w:szCs w:val="24"/>
        </w:rPr>
        <w:t xml:space="preserve">therwise </w:t>
      </w:r>
      <w:r>
        <w:rPr>
          <w:rFonts w:cstheme="minorHAnsi"/>
          <w:b/>
          <w:bCs/>
          <w:szCs w:val="24"/>
        </w:rPr>
        <w:t>A</w:t>
      </w:r>
      <w:r w:rsidRPr="00D811D0">
        <w:rPr>
          <w:rFonts w:cstheme="minorHAnsi"/>
          <w:b/>
          <w:bCs/>
          <w:szCs w:val="24"/>
        </w:rPr>
        <w:t>nnounced</w:t>
      </w:r>
    </w:p>
    <w:p w14:paraId="072A65ED" w14:textId="77777777" w:rsidR="00092337" w:rsidRPr="00092337" w:rsidRDefault="00092337" w:rsidP="0006702C">
      <w:pPr>
        <w:spacing w:after="0" w:line="240" w:lineRule="auto"/>
        <w:rPr>
          <w:rFonts w:cstheme="minorHAnsi"/>
          <w:szCs w:val="24"/>
        </w:rPr>
      </w:pPr>
    </w:p>
    <w:p w14:paraId="0094DFA9" w14:textId="77777777" w:rsidR="00092337" w:rsidRPr="00092337" w:rsidRDefault="00092337" w:rsidP="0006702C">
      <w:pPr>
        <w:spacing w:after="0" w:line="240" w:lineRule="auto"/>
        <w:rPr>
          <w:rFonts w:cstheme="minorHAnsi"/>
          <w:szCs w:val="24"/>
        </w:rPr>
      </w:pPr>
    </w:p>
    <w:p w14:paraId="6A551076" w14:textId="77777777" w:rsidR="00092337" w:rsidRPr="00092337" w:rsidRDefault="00092337" w:rsidP="00092337">
      <w:pPr>
        <w:spacing w:after="0" w:line="240" w:lineRule="auto"/>
        <w:rPr>
          <w:rFonts w:cstheme="minorHAnsi"/>
          <w:szCs w:val="24"/>
        </w:rPr>
      </w:pPr>
      <w:r w:rsidRPr="00092337">
        <w:rPr>
          <w:rFonts w:cstheme="minorHAnsi"/>
          <w:szCs w:val="24"/>
          <w:u w:val="single"/>
        </w:rPr>
        <w:t>Spring 2021</w:t>
      </w:r>
      <w:r w:rsidRPr="00092337">
        <w:rPr>
          <w:rFonts w:cstheme="minorHAnsi"/>
          <w:szCs w:val="24"/>
        </w:rPr>
        <w:br/>
      </w:r>
      <w:r w:rsidR="00D811D0">
        <w:rPr>
          <w:rFonts w:cstheme="minorHAnsi"/>
          <w:szCs w:val="24"/>
        </w:rPr>
        <w:t>Tuesday</w:t>
      </w:r>
      <w:r w:rsidRPr="00092337">
        <w:rPr>
          <w:rFonts w:cstheme="minorHAnsi"/>
          <w:szCs w:val="24"/>
        </w:rPr>
        <w:t xml:space="preserve">, January </w:t>
      </w:r>
      <w:r w:rsidR="00D811D0">
        <w:rPr>
          <w:rFonts w:cstheme="minorHAnsi"/>
          <w:szCs w:val="24"/>
        </w:rPr>
        <w:t>19th</w:t>
      </w:r>
      <w:r w:rsidRPr="00092337">
        <w:rPr>
          <w:rFonts w:cstheme="minorHAnsi"/>
          <w:szCs w:val="24"/>
        </w:rPr>
        <w:t>, 2021: Spring Semester Funding Opens</w:t>
      </w:r>
      <w:r w:rsidRPr="00092337">
        <w:rPr>
          <w:rFonts w:cstheme="minorHAnsi"/>
          <w:szCs w:val="24"/>
        </w:rPr>
        <w:br/>
      </w:r>
      <w:r w:rsidR="00D811D0">
        <w:rPr>
          <w:rFonts w:cstheme="minorHAnsi"/>
          <w:szCs w:val="24"/>
        </w:rPr>
        <w:t>Friday</w:t>
      </w:r>
      <w:r w:rsidRPr="00092337">
        <w:rPr>
          <w:rFonts w:cstheme="minorHAnsi"/>
          <w:szCs w:val="24"/>
        </w:rPr>
        <w:t xml:space="preserve">, April </w:t>
      </w:r>
      <w:r w:rsidR="00D811D0">
        <w:rPr>
          <w:rFonts w:cstheme="minorHAnsi"/>
          <w:szCs w:val="24"/>
        </w:rPr>
        <w:t>16</w:t>
      </w:r>
      <w:r w:rsidRPr="00092337">
        <w:rPr>
          <w:rFonts w:cstheme="minorHAnsi"/>
          <w:szCs w:val="24"/>
        </w:rPr>
        <w:t xml:space="preserve">th, 2021: Spring Semester Funding closes in order to process all approved spring requests </w:t>
      </w:r>
    </w:p>
    <w:p w14:paraId="5C65764D" w14:textId="77777777" w:rsidR="00092337" w:rsidRPr="00092337" w:rsidRDefault="00092337" w:rsidP="0006702C">
      <w:pPr>
        <w:spacing w:after="0" w:line="240" w:lineRule="auto"/>
        <w:rPr>
          <w:rFonts w:cstheme="minorHAnsi"/>
          <w:szCs w:val="24"/>
        </w:rPr>
      </w:pPr>
    </w:p>
    <w:p w14:paraId="3B7861CF" w14:textId="77777777" w:rsidR="0006702C" w:rsidRPr="00092337" w:rsidRDefault="0006702C" w:rsidP="0006702C">
      <w:pPr>
        <w:spacing w:after="0" w:line="240" w:lineRule="auto"/>
        <w:rPr>
          <w:rFonts w:cstheme="minorHAnsi"/>
          <w:szCs w:val="24"/>
        </w:rPr>
      </w:pPr>
    </w:p>
    <w:p w14:paraId="144D0304" w14:textId="77777777" w:rsidR="00092337" w:rsidRPr="00092337" w:rsidRDefault="00092337" w:rsidP="002E309F">
      <w:pPr>
        <w:rPr>
          <w:rFonts w:cstheme="minorHAnsi"/>
          <w:b/>
          <w:szCs w:val="24"/>
        </w:rPr>
      </w:pPr>
    </w:p>
    <w:p w14:paraId="6979687F" w14:textId="77777777" w:rsidR="00092337" w:rsidRPr="00092337" w:rsidRDefault="00092337" w:rsidP="002E309F">
      <w:pPr>
        <w:rPr>
          <w:rFonts w:cstheme="minorHAnsi"/>
          <w:b/>
          <w:szCs w:val="24"/>
        </w:rPr>
      </w:pPr>
    </w:p>
    <w:p w14:paraId="71AACB3E" w14:textId="77777777" w:rsidR="007B30BC" w:rsidRPr="00092337" w:rsidRDefault="007B30BC" w:rsidP="00092337">
      <w:pPr>
        <w:rPr>
          <w:rFonts w:cstheme="minorHAnsi"/>
          <w:b/>
          <w:szCs w:val="24"/>
        </w:rPr>
      </w:pPr>
      <w:r w:rsidRPr="00092337">
        <w:rPr>
          <w:rFonts w:cstheme="minorHAnsi"/>
          <w:b/>
          <w:szCs w:val="24"/>
        </w:rPr>
        <w:t>I acknowledge and agree to abide by the aforementioned steps in order to complete the funding process.</w:t>
      </w:r>
    </w:p>
    <w:p w14:paraId="4043F412" w14:textId="77777777" w:rsidR="007B30BC" w:rsidRPr="00092337" w:rsidRDefault="007B30BC" w:rsidP="007B30BC">
      <w:pPr>
        <w:rPr>
          <w:rFonts w:cstheme="minorHAnsi"/>
          <w:szCs w:val="24"/>
        </w:rPr>
      </w:pPr>
    </w:p>
    <w:p w14:paraId="09F73BC5" w14:textId="77777777" w:rsidR="007B30BC" w:rsidRPr="00092337" w:rsidRDefault="007B30BC" w:rsidP="007B30BC">
      <w:pPr>
        <w:rPr>
          <w:rFonts w:cstheme="minorHAnsi"/>
          <w:szCs w:val="24"/>
        </w:rPr>
      </w:pPr>
      <w:r w:rsidRPr="00092337">
        <w:rPr>
          <w:rFonts w:cstheme="minorHAnsi"/>
          <w:szCs w:val="24"/>
        </w:rPr>
        <w:t>________________________________________________</w:t>
      </w:r>
      <w:r w:rsidRPr="00092337">
        <w:rPr>
          <w:rFonts w:cstheme="minorHAnsi"/>
          <w:szCs w:val="24"/>
        </w:rPr>
        <w:tab/>
        <w:t>___________________</w:t>
      </w:r>
    </w:p>
    <w:p w14:paraId="6CBCB740" w14:textId="77777777" w:rsidR="007B30BC" w:rsidRPr="00092337" w:rsidRDefault="007B30BC" w:rsidP="007B30BC">
      <w:pPr>
        <w:rPr>
          <w:rFonts w:cstheme="minorHAnsi"/>
          <w:szCs w:val="24"/>
        </w:rPr>
      </w:pPr>
      <w:r w:rsidRPr="00092337">
        <w:rPr>
          <w:rFonts w:cstheme="minorHAnsi"/>
          <w:szCs w:val="24"/>
        </w:rPr>
        <w:t>Printed Name</w:t>
      </w:r>
      <w:r w:rsidRPr="00092337">
        <w:rPr>
          <w:rFonts w:cstheme="minorHAnsi"/>
          <w:szCs w:val="24"/>
        </w:rPr>
        <w:tab/>
      </w:r>
      <w:r w:rsidRPr="00092337">
        <w:rPr>
          <w:rFonts w:cstheme="minorHAnsi"/>
          <w:szCs w:val="24"/>
        </w:rPr>
        <w:tab/>
      </w:r>
      <w:r w:rsidRPr="00092337">
        <w:rPr>
          <w:rFonts w:cstheme="minorHAnsi"/>
          <w:szCs w:val="24"/>
        </w:rPr>
        <w:tab/>
      </w:r>
      <w:r w:rsidRPr="00092337">
        <w:rPr>
          <w:rFonts w:cstheme="minorHAnsi"/>
          <w:szCs w:val="24"/>
        </w:rPr>
        <w:tab/>
      </w:r>
      <w:r w:rsidRPr="00092337">
        <w:rPr>
          <w:rFonts w:cstheme="minorHAnsi"/>
          <w:szCs w:val="24"/>
        </w:rPr>
        <w:tab/>
      </w:r>
      <w:r w:rsidRPr="00092337">
        <w:rPr>
          <w:rFonts w:cstheme="minorHAnsi"/>
          <w:szCs w:val="24"/>
        </w:rPr>
        <w:tab/>
      </w:r>
      <w:r w:rsidRPr="00092337">
        <w:rPr>
          <w:rFonts w:cstheme="minorHAnsi"/>
          <w:szCs w:val="24"/>
        </w:rPr>
        <w:tab/>
        <w:t>Net ID</w:t>
      </w:r>
    </w:p>
    <w:p w14:paraId="1ECF056B" w14:textId="77777777" w:rsidR="007B30BC" w:rsidRPr="00092337" w:rsidRDefault="007B30BC" w:rsidP="007B30BC">
      <w:pPr>
        <w:rPr>
          <w:rFonts w:cstheme="minorHAnsi"/>
          <w:szCs w:val="24"/>
        </w:rPr>
      </w:pPr>
    </w:p>
    <w:p w14:paraId="070F9465" w14:textId="77777777" w:rsidR="002E309F" w:rsidRPr="00092337" w:rsidRDefault="007B30BC" w:rsidP="007B30BC">
      <w:pPr>
        <w:rPr>
          <w:rFonts w:cstheme="minorHAnsi"/>
          <w:szCs w:val="24"/>
        </w:rPr>
      </w:pPr>
      <w:r w:rsidRPr="00092337">
        <w:rPr>
          <w:rFonts w:cstheme="minorHAnsi"/>
          <w:szCs w:val="24"/>
        </w:rPr>
        <w:t>________________________________________________</w:t>
      </w:r>
      <w:r w:rsidRPr="00092337">
        <w:rPr>
          <w:rFonts w:cstheme="minorHAnsi"/>
          <w:szCs w:val="24"/>
        </w:rPr>
        <w:tab/>
        <w:t>___________________</w:t>
      </w:r>
    </w:p>
    <w:p w14:paraId="7BBC94D8" w14:textId="77777777" w:rsidR="007B30BC" w:rsidRPr="00092337" w:rsidRDefault="007B30BC" w:rsidP="007B30BC">
      <w:pPr>
        <w:rPr>
          <w:rFonts w:cstheme="minorHAnsi"/>
          <w:szCs w:val="24"/>
        </w:rPr>
      </w:pPr>
      <w:r w:rsidRPr="00092337">
        <w:rPr>
          <w:rFonts w:cstheme="minorHAnsi"/>
          <w:szCs w:val="24"/>
        </w:rPr>
        <w:t>Signature</w:t>
      </w:r>
      <w:r w:rsidRPr="00092337">
        <w:rPr>
          <w:rFonts w:cstheme="minorHAnsi"/>
          <w:szCs w:val="24"/>
        </w:rPr>
        <w:tab/>
      </w:r>
      <w:r w:rsidRPr="00092337">
        <w:rPr>
          <w:rFonts w:cstheme="minorHAnsi"/>
          <w:szCs w:val="24"/>
        </w:rPr>
        <w:tab/>
      </w:r>
      <w:r w:rsidRPr="00092337">
        <w:rPr>
          <w:rFonts w:cstheme="minorHAnsi"/>
          <w:szCs w:val="24"/>
        </w:rPr>
        <w:tab/>
      </w:r>
      <w:r w:rsidRPr="00092337">
        <w:rPr>
          <w:rFonts w:cstheme="minorHAnsi"/>
          <w:szCs w:val="24"/>
        </w:rPr>
        <w:tab/>
      </w:r>
      <w:r w:rsidRPr="00092337">
        <w:rPr>
          <w:rFonts w:cstheme="minorHAnsi"/>
          <w:szCs w:val="24"/>
        </w:rPr>
        <w:tab/>
      </w:r>
      <w:r w:rsidRPr="00092337">
        <w:rPr>
          <w:rFonts w:cstheme="minorHAnsi"/>
          <w:szCs w:val="24"/>
        </w:rPr>
        <w:tab/>
      </w:r>
      <w:r w:rsidRPr="00092337">
        <w:rPr>
          <w:rFonts w:cstheme="minorHAnsi"/>
          <w:szCs w:val="24"/>
        </w:rPr>
        <w:tab/>
        <w:t>Date</w:t>
      </w:r>
    </w:p>
    <w:p w14:paraId="0CA71E7B" w14:textId="77777777" w:rsidR="00092337" w:rsidRPr="00092337" w:rsidRDefault="00092337" w:rsidP="00092337">
      <w:pPr>
        <w:rPr>
          <w:rFonts w:cstheme="minorHAnsi"/>
          <w:szCs w:val="24"/>
        </w:rPr>
      </w:pPr>
      <w:r w:rsidRPr="00092337">
        <w:rPr>
          <w:rFonts w:cstheme="minorHAnsi"/>
          <w:szCs w:val="24"/>
        </w:rPr>
        <w:t>________________________________________________</w:t>
      </w:r>
      <w:r w:rsidRPr="00092337">
        <w:rPr>
          <w:rFonts w:cstheme="minorHAnsi"/>
          <w:szCs w:val="24"/>
        </w:rPr>
        <w:tab/>
        <w:t>___________________</w:t>
      </w:r>
    </w:p>
    <w:p w14:paraId="0248F97A" w14:textId="77777777" w:rsidR="00092337" w:rsidRDefault="00092337" w:rsidP="00EB4CFB">
      <w:pPr>
        <w:pStyle w:val="NoSpacing"/>
        <w:jc w:val="center"/>
        <w:rPr>
          <w:b/>
          <w:sz w:val="24"/>
          <w:szCs w:val="24"/>
          <w:u w:val="single"/>
        </w:rPr>
      </w:pPr>
    </w:p>
    <w:p w14:paraId="449777EA" w14:textId="77777777" w:rsidR="00092337" w:rsidRDefault="00092337" w:rsidP="00EB4CFB">
      <w:pPr>
        <w:pStyle w:val="NoSpacing"/>
        <w:jc w:val="center"/>
        <w:rPr>
          <w:b/>
          <w:sz w:val="24"/>
          <w:szCs w:val="24"/>
          <w:u w:val="single"/>
        </w:rPr>
      </w:pPr>
    </w:p>
    <w:p w14:paraId="01E02780" w14:textId="77777777" w:rsidR="00092337" w:rsidRDefault="00092337" w:rsidP="00EB4CFB">
      <w:pPr>
        <w:pStyle w:val="NoSpacing"/>
        <w:jc w:val="center"/>
        <w:rPr>
          <w:b/>
          <w:sz w:val="24"/>
          <w:szCs w:val="24"/>
          <w:u w:val="single"/>
        </w:rPr>
      </w:pPr>
    </w:p>
    <w:p w14:paraId="0F581BAA" w14:textId="77777777" w:rsidR="00D811D0" w:rsidRDefault="00D811D0" w:rsidP="00EB4CFB">
      <w:pPr>
        <w:pStyle w:val="NoSpacing"/>
        <w:jc w:val="center"/>
        <w:rPr>
          <w:b/>
          <w:sz w:val="24"/>
          <w:szCs w:val="24"/>
          <w:u w:val="single"/>
        </w:rPr>
      </w:pPr>
    </w:p>
    <w:p w14:paraId="422A0B26" w14:textId="77777777" w:rsidR="008F366F" w:rsidRDefault="008F366F" w:rsidP="00EB4CFB">
      <w:pPr>
        <w:pStyle w:val="NoSpacing"/>
        <w:jc w:val="center"/>
        <w:rPr>
          <w:b/>
          <w:sz w:val="24"/>
          <w:szCs w:val="24"/>
          <w:u w:val="single"/>
        </w:rPr>
      </w:pPr>
    </w:p>
    <w:p w14:paraId="61FA78BC" w14:textId="77777777" w:rsidR="008F366F" w:rsidRDefault="008F366F" w:rsidP="00EB4CFB">
      <w:pPr>
        <w:pStyle w:val="NoSpacing"/>
        <w:jc w:val="center"/>
        <w:rPr>
          <w:b/>
          <w:sz w:val="24"/>
          <w:szCs w:val="24"/>
          <w:u w:val="single"/>
        </w:rPr>
      </w:pPr>
    </w:p>
    <w:sectPr w:rsidR="008F366F" w:rsidSect="007D646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fornian FB">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A7ED3"/>
    <w:multiLevelType w:val="hybridMultilevel"/>
    <w:tmpl w:val="8FB81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35461"/>
    <w:multiLevelType w:val="hybridMultilevel"/>
    <w:tmpl w:val="AD16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90CDF"/>
    <w:multiLevelType w:val="hybridMultilevel"/>
    <w:tmpl w:val="628C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039DC"/>
    <w:multiLevelType w:val="hybridMultilevel"/>
    <w:tmpl w:val="EF8C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A5E25"/>
    <w:multiLevelType w:val="hybridMultilevel"/>
    <w:tmpl w:val="674E8958"/>
    <w:lvl w:ilvl="0" w:tplc="9842C018">
      <w:start w:val="1"/>
      <w:numFmt w:val="decimal"/>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6808D1"/>
    <w:multiLevelType w:val="hybridMultilevel"/>
    <w:tmpl w:val="B5AE5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B3111"/>
    <w:multiLevelType w:val="hybridMultilevel"/>
    <w:tmpl w:val="0C1A8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8F5C28"/>
    <w:multiLevelType w:val="hybridMultilevel"/>
    <w:tmpl w:val="5B344D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E50BA"/>
    <w:multiLevelType w:val="hybridMultilevel"/>
    <w:tmpl w:val="3EB87752"/>
    <w:lvl w:ilvl="0" w:tplc="D3341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E76298"/>
    <w:multiLevelType w:val="hybridMultilevel"/>
    <w:tmpl w:val="77963BA6"/>
    <w:lvl w:ilvl="0" w:tplc="B3F42964">
      <w:start w:val="2"/>
      <w:numFmt w:val="upperLetter"/>
      <w:pStyle w:val="Heading4"/>
      <w:lvlText w:val="%1."/>
      <w:lvlJc w:val="left"/>
      <w:pPr>
        <w:tabs>
          <w:tab w:val="num" w:pos="720"/>
        </w:tabs>
        <w:ind w:left="720" w:hanging="360"/>
      </w:pPr>
      <w:rPr>
        <w:rFonts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2398EC04">
      <w:start w:val="1"/>
      <w:numFmt w:val="decimal"/>
      <w:lvlText w:val="%3."/>
      <w:lvlJc w:val="left"/>
      <w:pPr>
        <w:tabs>
          <w:tab w:val="num" w:pos="1170"/>
        </w:tabs>
        <w:ind w:left="117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C41205"/>
    <w:multiLevelType w:val="hybridMultilevel"/>
    <w:tmpl w:val="E2A2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8"/>
  </w:num>
  <w:num w:numId="6">
    <w:abstractNumId w:val="4"/>
  </w:num>
  <w:num w:numId="7">
    <w:abstractNumId w:val="6"/>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39"/>
    <w:rsid w:val="0006702C"/>
    <w:rsid w:val="00092337"/>
    <w:rsid w:val="000E245A"/>
    <w:rsid w:val="001677FE"/>
    <w:rsid w:val="00172963"/>
    <w:rsid w:val="0021059A"/>
    <w:rsid w:val="002229B2"/>
    <w:rsid w:val="0025752D"/>
    <w:rsid w:val="0026394E"/>
    <w:rsid w:val="002842D9"/>
    <w:rsid w:val="002A690C"/>
    <w:rsid w:val="002E309F"/>
    <w:rsid w:val="004110F5"/>
    <w:rsid w:val="00422382"/>
    <w:rsid w:val="00463D9C"/>
    <w:rsid w:val="004C1B73"/>
    <w:rsid w:val="00540767"/>
    <w:rsid w:val="005A16A8"/>
    <w:rsid w:val="00634FA2"/>
    <w:rsid w:val="006863C9"/>
    <w:rsid w:val="00686BC2"/>
    <w:rsid w:val="006E5D71"/>
    <w:rsid w:val="007B30BC"/>
    <w:rsid w:val="007D646E"/>
    <w:rsid w:val="007F583F"/>
    <w:rsid w:val="008F366F"/>
    <w:rsid w:val="009011E1"/>
    <w:rsid w:val="009D545C"/>
    <w:rsid w:val="00A43A74"/>
    <w:rsid w:val="00BE1A92"/>
    <w:rsid w:val="00C2325D"/>
    <w:rsid w:val="00CE04B1"/>
    <w:rsid w:val="00D811D0"/>
    <w:rsid w:val="00D825F5"/>
    <w:rsid w:val="00DD0FC2"/>
    <w:rsid w:val="00EB4CFB"/>
    <w:rsid w:val="00F31624"/>
    <w:rsid w:val="00FA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2825"/>
  <w15:chartTrackingRefBased/>
  <w15:docId w15:val="{8EB71766-5D6E-477E-995F-77BA5D03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923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E309F"/>
    <w:pPr>
      <w:keepNext/>
      <w:numPr>
        <w:numId w:val="4"/>
      </w:numPr>
      <w:spacing w:after="0" w:line="240" w:lineRule="auto"/>
      <w:outlineLvl w:val="3"/>
    </w:pPr>
    <w:rPr>
      <w:rFonts w:ascii="Californian FB" w:eastAsia="Batang" w:hAnsi="Californian FB"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839"/>
    <w:pPr>
      <w:spacing w:after="0" w:line="240" w:lineRule="auto"/>
    </w:pPr>
  </w:style>
  <w:style w:type="character" w:styleId="Hyperlink">
    <w:name w:val="Hyperlink"/>
    <w:basedOn w:val="DefaultParagraphFont"/>
    <w:uiPriority w:val="99"/>
    <w:unhideWhenUsed/>
    <w:rsid w:val="00FA6839"/>
    <w:rPr>
      <w:color w:val="0563C1" w:themeColor="hyperlink"/>
      <w:u w:val="single"/>
    </w:rPr>
  </w:style>
  <w:style w:type="paragraph" w:styleId="ListParagraph">
    <w:name w:val="List Paragraph"/>
    <w:basedOn w:val="Normal"/>
    <w:uiPriority w:val="34"/>
    <w:qFormat/>
    <w:rsid w:val="00FA6839"/>
    <w:pPr>
      <w:ind w:left="720"/>
      <w:contextualSpacing/>
    </w:pPr>
  </w:style>
  <w:style w:type="character" w:customStyle="1" w:styleId="Heading4Char">
    <w:name w:val="Heading 4 Char"/>
    <w:basedOn w:val="DefaultParagraphFont"/>
    <w:link w:val="Heading4"/>
    <w:rsid w:val="002E309F"/>
    <w:rPr>
      <w:rFonts w:ascii="Californian FB" w:eastAsia="Batang" w:hAnsi="Californian FB" w:cs="Times New Roman"/>
      <w:b/>
      <w:bCs/>
      <w:sz w:val="28"/>
      <w:szCs w:val="20"/>
    </w:rPr>
  </w:style>
  <w:style w:type="paragraph" w:styleId="BodyTextIndent">
    <w:name w:val="Body Text Indent"/>
    <w:basedOn w:val="Normal"/>
    <w:link w:val="BodyTextIndentChar"/>
    <w:uiPriority w:val="99"/>
    <w:unhideWhenUsed/>
    <w:rsid w:val="002E309F"/>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2E309F"/>
    <w:rPr>
      <w:rFonts w:eastAsiaTheme="minorEastAsia"/>
    </w:rPr>
  </w:style>
  <w:style w:type="paragraph" w:styleId="BalloonText">
    <w:name w:val="Balloon Text"/>
    <w:basedOn w:val="Normal"/>
    <w:link w:val="BalloonTextChar"/>
    <w:uiPriority w:val="99"/>
    <w:semiHidden/>
    <w:unhideWhenUsed/>
    <w:rsid w:val="00EB4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FB"/>
    <w:rPr>
      <w:rFonts w:ascii="Segoe UI" w:hAnsi="Segoe UI" w:cs="Segoe UI"/>
      <w:sz w:val="18"/>
      <w:szCs w:val="18"/>
    </w:rPr>
  </w:style>
  <w:style w:type="character" w:styleId="Strong">
    <w:name w:val="Strong"/>
    <w:basedOn w:val="DefaultParagraphFont"/>
    <w:uiPriority w:val="22"/>
    <w:qFormat/>
    <w:rsid w:val="00092337"/>
    <w:rPr>
      <w:b/>
      <w:bCs/>
    </w:rPr>
  </w:style>
  <w:style w:type="paragraph" w:styleId="NormalWeb">
    <w:name w:val="Normal (Web)"/>
    <w:basedOn w:val="Normal"/>
    <w:uiPriority w:val="99"/>
    <w:semiHidden/>
    <w:unhideWhenUsed/>
    <w:rsid w:val="0009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9233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92337"/>
    <w:rPr>
      <w:color w:val="605E5C"/>
      <w:shd w:val="clear" w:color="auto" w:fill="E1DFDD"/>
    </w:rPr>
  </w:style>
  <w:style w:type="character" w:styleId="FollowedHyperlink">
    <w:name w:val="FollowedHyperlink"/>
    <w:basedOn w:val="DefaultParagraphFont"/>
    <w:uiPriority w:val="99"/>
    <w:semiHidden/>
    <w:unhideWhenUsed/>
    <w:rsid w:val="00092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76448">
      <w:bodyDiv w:val="1"/>
      <w:marLeft w:val="0"/>
      <w:marRight w:val="0"/>
      <w:marTop w:val="0"/>
      <w:marBottom w:val="0"/>
      <w:divBdr>
        <w:top w:val="none" w:sz="0" w:space="0" w:color="auto"/>
        <w:left w:val="none" w:sz="0" w:space="0" w:color="auto"/>
        <w:bottom w:val="none" w:sz="0" w:space="0" w:color="auto"/>
        <w:right w:val="none" w:sz="0" w:space="0" w:color="auto"/>
      </w:divBdr>
    </w:div>
    <w:div w:id="446894454">
      <w:bodyDiv w:val="1"/>
      <w:marLeft w:val="0"/>
      <w:marRight w:val="0"/>
      <w:marTop w:val="0"/>
      <w:marBottom w:val="0"/>
      <w:divBdr>
        <w:top w:val="none" w:sz="0" w:space="0" w:color="auto"/>
        <w:left w:val="none" w:sz="0" w:space="0" w:color="auto"/>
        <w:bottom w:val="none" w:sz="0" w:space="0" w:color="auto"/>
        <w:right w:val="none" w:sz="0" w:space="0" w:color="auto"/>
      </w:divBdr>
    </w:div>
    <w:div w:id="490561540">
      <w:bodyDiv w:val="1"/>
      <w:marLeft w:val="0"/>
      <w:marRight w:val="0"/>
      <w:marTop w:val="0"/>
      <w:marBottom w:val="0"/>
      <w:divBdr>
        <w:top w:val="none" w:sz="0" w:space="0" w:color="auto"/>
        <w:left w:val="none" w:sz="0" w:space="0" w:color="auto"/>
        <w:bottom w:val="none" w:sz="0" w:space="0" w:color="auto"/>
        <w:right w:val="none" w:sz="0" w:space="0" w:color="auto"/>
      </w:divBdr>
    </w:div>
    <w:div w:id="581841489">
      <w:bodyDiv w:val="1"/>
      <w:marLeft w:val="0"/>
      <w:marRight w:val="0"/>
      <w:marTop w:val="0"/>
      <w:marBottom w:val="0"/>
      <w:divBdr>
        <w:top w:val="none" w:sz="0" w:space="0" w:color="auto"/>
        <w:left w:val="none" w:sz="0" w:space="0" w:color="auto"/>
        <w:bottom w:val="none" w:sz="0" w:space="0" w:color="auto"/>
        <w:right w:val="none" w:sz="0" w:space="0" w:color="auto"/>
      </w:divBdr>
    </w:div>
    <w:div w:id="852188176">
      <w:bodyDiv w:val="1"/>
      <w:marLeft w:val="0"/>
      <w:marRight w:val="0"/>
      <w:marTop w:val="0"/>
      <w:marBottom w:val="0"/>
      <w:divBdr>
        <w:top w:val="none" w:sz="0" w:space="0" w:color="auto"/>
        <w:left w:val="none" w:sz="0" w:space="0" w:color="auto"/>
        <w:bottom w:val="none" w:sz="0" w:space="0" w:color="auto"/>
        <w:right w:val="none" w:sz="0" w:space="0" w:color="auto"/>
      </w:divBdr>
    </w:div>
    <w:div w:id="915432556">
      <w:bodyDiv w:val="1"/>
      <w:marLeft w:val="0"/>
      <w:marRight w:val="0"/>
      <w:marTop w:val="0"/>
      <w:marBottom w:val="0"/>
      <w:divBdr>
        <w:top w:val="none" w:sz="0" w:space="0" w:color="auto"/>
        <w:left w:val="none" w:sz="0" w:space="0" w:color="auto"/>
        <w:bottom w:val="none" w:sz="0" w:space="0" w:color="auto"/>
        <w:right w:val="none" w:sz="0" w:space="0" w:color="auto"/>
      </w:divBdr>
    </w:div>
    <w:div w:id="1684894031">
      <w:bodyDiv w:val="1"/>
      <w:marLeft w:val="0"/>
      <w:marRight w:val="0"/>
      <w:marTop w:val="0"/>
      <w:marBottom w:val="0"/>
      <w:divBdr>
        <w:top w:val="none" w:sz="0" w:space="0" w:color="auto"/>
        <w:left w:val="none" w:sz="0" w:space="0" w:color="auto"/>
        <w:bottom w:val="none" w:sz="0" w:space="0" w:color="auto"/>
        <w:right w:val="none" w:sz="0" w:space="0" w:color="auto"/>
      </w:divBdr>
      <w:divsChild>
        <w:div w:id="537279798">
          <w:marLeft w:val="0"/>
          <w:marRight w:val="0"/>
          <w:marTop w:val="0"/>
          <w:marBottom w:val="0"/>
          <w:divBdr>
            <w:top w:val="none" w:sz="0" w:space="0" w:color="auto"/>
            <w:left w:val="none" w:sz="0" w:space="0" w:color="auto"/>
            <w:bottom w:val="none" w:sz="0" w:space="0" w:color="auto"/>
            <w:right w:val="none" w:sz="0" w:space="0" w:color="auto"/>
          </w:divBdr>
          <w:divsChild>
            <w:div w:id="780413088">
              <w:marLeft w:val="0"/>
              <w:marRight w:val="0"/>
              <w:marTop w:val="0"/>
              <w:marBottom w:val="0"/>
              <w:divBdr>
                <w:top w:val="none" w:sz="0" w:space="0" w:color="auto"/>
                <w:left w:val="none" w:sz="0" w:space="0" w:color="auto"/>
                <w:bottom w:val="none" w:sz="0" w:space="0" w:color="auto"/>
                <w:right w:val="none" w:sz="0" w:space="0" w:color="auto"/>
              </w:divBdr>
              <w:divsChild>
                <w:div w:id="520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0684">
      <w:bodyDiv w:val="1"/>
      <w:marLeft w:val="0"/>
      <w:marRight w:val="0"/>
      <w:marTop w:val="0"/>
      <w:marBottom w:val="0"/>
      <w:divBdr>
        <w:top w:val="none" w:sz="0" w:space="0" w:color="auto"/>
        <w:left w:val="none" w:sz="0" w:space="0" w:color="auto"/>
        <w:bottom w:val="none" w:sz="0" w:space="0" w:color="auto"/>
        <w:right w:val="none" w:sz="0" w:space="0" w:color="auto"/>
      </w:divBdr>
    </w:div>
    <w:div w:id="1826434398">
      <w:bodyDiv w:val="1"/>
      <w:marLeft w:val="0"/>
      <w:marRight w:val="0"/>
      <w:marTop w:val="0"/>
      <w:marBottom w:val="0"/>
      <w:divBdr>
        <w:top w:val="none" w:sz="0" w:space="0" w:color="auto"/>
        <w:left w:val="none" w:sz="0" w:space="0" w:color="auto"/>
        <w:bottom w:val="none" w:sz="0" w:space="0" w:color="auto"/>
        <w:right w:val="none" w:sz="0" w:space="0" w:color="auto"/>
      </w:divBdr>
    </w:div>
    <w:div w:id="2012293137">
      <w:bodyDiv w:val="1"/>
      <w:marLeft w:val="0"/>
      <w:marRight w:val="0"/>
      <w:marTop w:val="0"/>
      <w:marBottom w:val="0"/>
      <w:divBdr>
        <w:top w:val="none" w:sz="0" w:space="0" w:color="auto"/>
        <w:left w:val="none" w:sz="0" w:space="0" w:color="auto"/>
        <w:bottom w:val="none" w:sz="0" w:space="0" w:color="auto"/>
        <w:right w:val="none" w:sz="0" w:space="0" w:color="auto"/>
      </w:divBdr>
      <w:divsChild>
        <w:div w:id="392000693">
          <w:marLeft w:val="0"/>
          <w:marRight w:val="0"/>
          <w:marTop w:val="0"/>
          <w:marBottom w:val="0"/>
          <w:divBdr>
            <w:top w:val="none" w:sz="0" w:space="0" w:color="auto"/>
            <w:left w:val="none" w:sz="0" w:space="0" w:color="auto"/>
            <w:bottom w:val="none" w:sz="0" w:space="0" w:color="auto"/>
            <w:right w:val="none" w:sz="0" w:space="0" w:color="auto"/>
          </w:divBdr>
          <w:divsChild>
            <w:div w:id="1138690586">
              <w:marLeft w:val="0"/>
              <w:marRight w:val="0"/>
              <w:marTop w:val="0"/>
              <w:marBottom w:val="0"/>
              <w:divBdr>
                <w:top w:val="none" w:sz="0" w:space="0" w:color="auto"/>
                <w:left w:val="none" w:sz="0" w:space="0" w:color="auto"/>
                <w:bottom w:val="none" w:sz="0" w:space="0" w:color="auto"/>
                <w:right w:val="none" w:sz="0" w:space="0" w:color="auto"/>
              </w:divBdr>
              <w:divsChild>
                <w:div w:id="5106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involved.lbjsc.txstate.edu/Policy-and-Procedures/Campus-Access-Forms.html" TargetMode="External"/><Relationship Id="rId3" Type="http://schemas.openxmlformats.org/officeDocument/2006/relationships/settings" Target="settings.xml"/><Relationship Id="rId7" Type="http://schemas.openxmlformats.org/officeDocument/2006/relationships/hyperlink" Target="https://www.txstate.edu/coronavirus/road-m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jsc.txstate.edu/soc/programs/RiskManagementSessions.html" TargetMode="External"/><Relationship Id="rId5" Type="http://schemas.openxmlformats.org/officeDocument/2006/relationships/hyperlink" Target="http://www.lbjsc.txstate.edu/soc/organization-resources/registrat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5852</Characters>
  <Application>Microsoft Office Word</Application>
  <DocSecurity>0</DocSecurity>
  <Lines>167</Lines>
  <Paragraphs>98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Thomas V</dc:creator>
  <cp:keywords/>
  <dc:description/>
  <cp:lastModifiedBy>Pina, Casey</cp:lastModifiedBy>
  <cp:revision>2</cp:revision>
  <cp:lastPrinted>2018-05-22T14:44:00Z</cp:lastPrinted>
  <dcterms:created xsi:type="dcterms:W3CDTF">2020-09-30T23:20:00Z</dcterms:created>
  <dcterms:modified xsi:type="dcterms:W3CDTF">2020-09-30T23:20:00Z</dcterms:modified>
</cp:coreProperties>
</file>