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Halloween,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Castro-Arellano,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proximity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Castro-Arellano?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vertebrates.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reptiles,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amphibians,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vertebrates.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zoonotic,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zoonotic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00:04:07]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00:04:20]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dispersers,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misunderstood.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membranes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dehydration.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endangered.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00:09:53-56].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00:10:35]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00:10:49]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free-tailed,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dehydration.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affected,if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die-offs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00:13:42-43]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00:14:31]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00:15:02-04]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00:15:12]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databases,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U.S.,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hibernate,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proprietary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ultrasonic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acoustic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dissuade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fatalities.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free-tailed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acoustic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haystack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00:22:41]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00:22:48],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pesticides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fossil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00:23:02].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Ivan Castro-Arellano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00:23:45-47]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lethal,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pathogen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00:23:57]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Fritz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White-nose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vertebrate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anthropogenic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chytridiomycosisis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fragmentation,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Sara Weaver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NGOs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Castro-Arellano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Garcia.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 9_White-nose syndrome in bats (Completed  10/06/20)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30,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"https://www.rev.com/transcript-editor/Edit?token=RG_OvO0k5UIL7fgcRI2386CCKQod44w0tDHXLHg9npYVlFTIZIFKJh5yxps28vDgvoYDvSz6uzuOq8uvUv8kgAiqcD0&amp;loadFrom=DocumentHeaderDeepLink"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