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DC07" w14:textId="77777777" w:rsidR="003F0541" w:rsidRPr="00A830BE" w:rsidRDefault="003F0541" w:rsidP="003F0541">
      <w:pPr>
        <w:rPr>
          <w:b/>
        </w:rPr>
      </w:pPr>
      <w:r>
        <w:rPr>
          <w:b/>
        </w:rPr>
        <w:t>PROCEDURES FOR AWARDING MERIT AND PERFORMANCE RAISES</w:t>
      </w:r>
    </w:p>
    <w:p w14:paraId="015ED9A7" w14:textId="77777777" w:rsidR="003F0541" w:rsidRDefault="003F0541" w:rsidP="003F0541">
      <w:r>
        <w:t>Department of Psychology</w:t>
      </w:r>
    </w:p>
    <w:p w14:paraId="2ED09EBB" w14:textId="77777777" w:rsidR="003F0541" w:rsidRDefault="003F0541" w:rsidP="003F0541">
      <w:r>
        <w:t>College of Liberal Arts</w:t>
      </w:r>
    </w:p>
    <w:p w14:paraId="14663538" w14:textId="77777777" w:rsidR="00386FB5" w:rsidRDefault="00386FB5" w:rsidP="003F0541"/>
    <w:p w14:paraId="301456AF" w14:textId="77777777" w:rsidR="003F0541" w:rsidRPr="00E603BC" w:rsidRDefault="003F0541" w:rsidP="00386FB5">
      <w:pPr>
        <w:contextualSpacing/>
        <w:rPr>
          <w:color w:val="000000"/>
        </w:rPr>
      </w:pPr>
      <w:r w:rsidRPr="00E603BC">
        <w:rPr>
          <w:color w:val="000000"/>
        </w:rPr>
        <w:t xml:space="preserve">Approved: </w:t>
      </w:r>
      <w:r w:rsidR="00386FB5">
        <w:rPr>
          <w:color w:val="000000"/>
        </w:rPr>
        <w:t xml:space="preserve"> </w:t>
      </w:r>
      <w:r w:rsidRPr="00E603BC">
        <w:rPr>
          <w:color w:val="000000"/>
        </w:rPr>
        <w:t>November 6, 2006</w:t>
      </w:r>
    </w:p>
    <w:p w14:paraId="174E55A6" w14:textId="77777777" w:rsidR="003F0541" w:rsidRPr="00E603BC" w:rsidRDefault="003F0541" w:rsidP="00386FB5">
      <w:pPr>
        <w:contextualSpacing/>
        <w:rPr>
          <w:color w:val="000000"/>
        </w:rPr>
      </w:pPr>
      <w:r w:rsidRPr="00E603BC">
        <w:rPr>
          <w:color w:val="000000"/>
        </w:rPr>
        <w:t>Personnel Committee Approval: November 13, 2006</w:t>
      </w:r>
    </w:p>
    <w:p w14:paraId="333889E0" w14:textId="77777777" w:rsidR="003F0541" w:rsidRPr="00E603BC" w:rsidRDefault="003F0541" w:rsidP="00386FB5">
      <w:pPr>
        <w:contextualSpacing/>
        <w:rPr>
          <w:color w:val="000000"/>
        </w:rPr>
      </w:pPr>
      <w:r w:rsidRPr="00E603BC">
        <w:rPr>
          <w:color w:val="000000"/>
        </w:rPr>
        <w:t xml:space="preserve">Approved Changes: </w:t>
      </w:r>
      <w:r w:rsidR="00386FB5">
        <w:rPr>
          <w:color w:val="000000"/>
        </w:rPr>
        <w:t xml:space="preserve"> </w:t>
      </w:r>
      <w:r w:rsidRPr="00E603BC">
        <w:rPr>
          <w:color w:val="000000"/>
        </w:rPr>
        <w:t>Faculty Meeting</w:t>
      </w:r>
      <w:r w:rsidR="001862B5" w:rsidRPr="00E603BC">
        <w:rPr>
          <w:color w:val="000000"/>
        </w:rPr>
        <w:t>,</w:t>
      </w:r>
      <w:r w:rsidRPr="00E603BC">
        <w:rPr>
          <w:color w:val="000000"/>
        </w:rPr>
        <w:t xml:space="preserve"> April 23, 2007</w:t>
      </w:r>
    </w:p>
    <w:p w14:paraId="1B0E19ED" w14:textId="77777777" w:rsidR="003F0541" w:rsidRPr="00E603BC" w:rsidRDefault="003F0541" w:rsidP="00386FB5">
      <w:pPr>
        <w:contextualSpacing/>
        <w:rPr>
          <w:color w:val="000000"/>
        </w:rPr>
      </w:pPr>
      <w:r w:rsidRPr="00E603BC">
        <w:rPr>
          <w:color w:val="000000"/>
        </w:rPr>
        <w:t xml:space="preserve">Approved Changes: </w:t>
      </w:r>
      <w:r w:rsidR="00386FB5">
        <w:rPr>
          <w:color w:val="000000"/>
        </w:rPr>
        <w:t xml:space="preserve"> </w:t>
      </w:r>
      <w:r w:rsidR="00DD27D7" w:rsidRPr="00E603BC">
        <w:rPr>
          <w:color w:val="000000"/>
        </w:rPr>
        <w:t>Faculty Meeting</w:t>
      </w:r>
      <w:r w:rsidR="001862B5" w:rsidRPr="00E603BC">
        <w:rPr>
          <w:color w:val="000000"/>
        </w:rPr>
        <w:t>,</w:t>
      </w:r>
      <w:r w:rsidR="00DD27D7" w:rsidRPr="00E603BC">
        <w:rPr>
          <w:color w:val="000000"/>
        </w:rPr>
        <w:t xml:space="preserve"> April 20, 2009 </w:t>
      </w:r>
    </w:p>
    <w:p w14:paraId="07055621" w14:textId="77777777" w:rsidR="00832E9D" w:rsidRPr="00E603BC" w:rsidRDefault="00832E9D" w:rsidP="00386FB5">
      <w:pPr>
        <w:contextualSpacing/>
        <w:rPr>
          <w:color w:val="000000"/>
        </w:rPr>
      </w:pPr>
      <w:r w:rsidRPr="00E603BC">
        <w:rPr>
          <w:color w:val="000000"/>
        </w:rPr>
        <w:t>Approved Change</w:t>
      </w:r>
      <w:r w:rsidR="001862B5" w:rsidRPr="00E603BC">
        <w:rPr>
          <w:color w:val="000000"/>
        </w:rPr>
        <w:t>s</w:t>
      </w:r>
      <w:r w:rsidRPr="00E603BC">
        <w:rPr>
          <w:color w:val="000000"/>
        </w:rPr>
        <w:t xml:space="preserve">: </w:t>
      </w:r>
      <w:r w:rsidR="00386FB5">
        <w:rPr>
          <w:color w:val="000000"/>
        </w:rPr>
        <w:t xml:space="preserve"> </w:t>
      </w:r>
      <w:r w:rsidRPr="00E603BC">
        <w:rPr>
          <w:color w:val="000000"/>
        </w:rPr>
        <w:t>Faculty Meeting, January 25, 2010</w:t>
      </w:r>
    </w:p>
    <w:p w14:paraId="72C5F495" w14:textId="77777777" w:rsidR="00386FB5" w:rsidRDefault="00386FB5" w:rsidP="00386FB5">
      <w:pPr>
        <w:pStyle w:val="Heading2"/>
        <w:spacing w:before="0" w:after="0"/>
        <w:contextualSpacing/>
        <w:rPr>
          <w:rFonts w:ascii="Times New Roman" w:hAnsi="Times New Roman"/>
          <w:b w:val="0"/>
          <w:i w:val="0"/>
          <w:sz w:val="24"/>
          <w:szCs w:val="24"/>
        </w:rPr>
      </w:pPr>
      <w:r w:rsidRPr="00386FB5">
        <w:rPr>
          <w:rFonts w:ascii="Times New Roman" w:hAnsi="Times New Roman"/>
          <w:b w:val="0"/>
          <w:i w:val="0"/>
          <w:sz w:val="24"/>
          <w:szCs w:val="24"/>
        </w:rPr>
        <w:t xml:space="preserve">Approved Changes:  Secret Ballot Vote, </w:t>
      </w:r>
      <w:r w:rsidR="000B72EC">
        <w:rPr>
          <w:rFonts w:ascii="Times New Roman" w:hAnsi="Times New Roman"/>
          <w:b w:val="0"/>
          <w:i w:val="0"/>
          <w:sz w:val="24"/>
          <w:szCs w:val="24"/>
        </w:rPr>
        <w:t>February 15, 2016</w:t>
      </w:r>
    </w:p>
    <w:p w14:paraId="2F44F05A" w14:textId="77777777" w:rsidR="00DB06BC" w:rsidRDefault="00DB06BC" w:rsidP="00DB06BC">
      <w:r>
        <w:t>Approved Changes: Secret Ballot Vote, May 1</w:t>
      </w:r>
      <w:r w:rsidR="00BC11EC">
        <w:t>1, 2017</w:t>
      </w:r>
    </w:p>
    <w:p w14:paraId="02C58471" w14:textId="77777777" w:rsidR="001C3CD6" w:rsidRPr="00DB06BC" w:rsidRDefault="001C3CD6" w:rsidP="00DB06BC">
      <w:r>
        <w:t>Approved Changes: Faculty Meeting, April 30, 2018</w:t>
      </w:r>
    </w:p>
    <w:p w14:paraId="7CB37161" w14:textId="7C7294CF" w:rsidR="007F4AB1" w:rsidRDefault="007F4AB1" w:rsidP="007F4AB1">
      <w:r>
        <w:t>Approved Changes: Secret Ballot Vote, May 1</w:t>
      </w:r>
      <w:r>
        <w:t>0</w:t>
      </w:r>
      <w:r>
        <w:t>, 201</w:t>
      </w:r>
      <w:r>
        <w:t>9</w:t>
      </w:r>
      <w:bookmarkStart w:id="0" w:name="_GoBack"/>
      <w:bookmarkEnd w:id="0"/>
    </w:p>
    <w:p w14:paraId="6E768B0F" w14:textId="77777777" w:rsidR="003F0541" w:rsidRPr="006363E6" w:rsidRDefault="003F0541" w:rsidP="00386FB5">
      <w:pPr>
        <w:contextualSpacing/>
      </w:pPr>
    </w:p>
    <w:p w14:paraId="54C1BE81" w14:textId="77777777" w:rsidR="003F0541" w:rsidRPr="006D7330" w:rsidRDefault="003F0541" w:rsidP="003F0541"/>
    <w:p w14:paraId="27B6359A" w14:textId="77777777" w:rsidR="003F0541" w:rsidRDefault="003F0541" w:rsidP="003F0541">
      <w:r w:rsidRPr="006D7330">
        <w:t>Decisions concerning salary, promotions, tenure, and other rewards, will be based on evaluations of performance in the areas of teaching</w:t>
      </w:r>
      <w:r w:rsidRPr="00332325">
        <w:t>, scholarship, and service</w:t>
      </w:r>
      <w:r w:rsidRPr="006D7330">
        <w:t xml:space="preserve"> during the previous calendar year.  Performance is evalua</w:t>
      </w:r>
      <w:r>
        <w:t xml:space="preserve">ted as </w:t>
      </w:r>
      <w:r>
        <w:rPr>
          <w:b/>
        </w:rPr>
        <w:t xml:space="preserve">Significantly Exceeds Merit </w:t>
      </w:r>
      <w:r w:rsidRPr="005762E1">
        <w:rPr>
          <w:b/>
        </w:rPr>
        <w:t xml:space="preserve">Expectation </w:t>
      </w:r>
      <w:r>
        <w:t xml:space="preserve">(3 points), </w:t>
      </w:r>
      <w:r w:rsidRPr="00332325">
        <w:rPr>
          <w:b/>
        </w:rPr>
        <w:t>Exceeds</w:t>
      </w:r>
      <w:r>
        <w:rPr>
          <w:b/>
        </w:rPr>
        <w:t xml:space="preserve"> Merit</w:t>
      </w:r>
      <w:r w:rsidRPr="00332325">
        <w:rPr>
          <w:b/>
        </w:rPr>
        <w:t xml:space="preserve"> Expectation</w:t>
      </w:r>
      <w:r>
        <w:rPr>
          <w:b/>
        </w:rPr>
        <w:t xml:space="preserve"> </w:t>
      </w:r>
      <w:r w:rsidRPr="005762E1">
        <w:t>(2 points)</w:t>
      </w:r>
      <w:r w:rsidRPr="006D7330">
        <w:t>,</w:t>
      </w:r>
      <w:r>
        <w:t xml:space="preserve"> </w:t>
      </w:r>
      <w:r w:rsidRPr="00332325">
        <w:rPr>
          <w:b/>
        </w:rPr>
        <w:t>Meets</w:t>
      </w:r>
      <w:r>
        <w:rPr>
          <w:b/>
        </w:rPr>
        <w:t xml:space="preserve"> Merit</w:t>
      </w:r>
      <w:r w:rsidRPr="00332325">
        <w:rPr>
          <w:b/>
        </w:rPr>
        <w:t xml:space="preserve"> Expectation</w:t>
      </w:r>
      <w:r>
        <w:rPr>
          <w:b/>
        </w:rPr>
        <w:t xml:space="preserve"> </w:t>
      </w:r>
      <w:r w:rsidRPr="005762E1">
        <w:t>(1 point)</w:t>
      </w:r>
      <w:r w:rsidRPr="006D7330">
        <w:t xml:space="preserve">, or </w:t>
      </w:r>
      <w:r w:rsidRPr="00332325">
        <w:rPr>
          <w:b/>
        </w:rPr>
        <w:t xml:space="preserve">Does Not Meet </w:t>
      </w:r>
      <w:r w:rsidR="00DA52F7">
        <w:rPr>
          <w:b/>
        </w:rPr>
        <w:t xml:space="preserve">Merit </w:t>
      </w:r>
      <w:r w:rsidRPr="00332325">
        <w:rPr>
          <w:b/>
        </w:rPr>
        <w:t>Expectation</w:t>
      </w:r>
      <w:r w:rsidRPr="006D7330">
        <w:t xml:space="preserve"> </w:t>
      </w:r>
      <w:r>
        <w:t xml:space="preserve">(0 points) for </w:t>
      </w:r>
      <w:r w:rsidRPr="006D7330">
        <w:t>the areas of teaching, scholarship</w:t>
      </w:r>
      <w:r w:rsidR="006278C7">
        <w:t>,</w:t>
      </w:r>
      <w:r w:rsidRPr="006D7330">
        <w:t xml:space="preserve"> and service.  </w:t>
      </w:r>
    </w:p>
    <w:p w14:paraId="14332D83" w14:textId="77777777" w:rsidR="00362389" w:rsidRDefault="00362389" w:rsidP="003F0541">
      <w:pPr>
        <w:pStyle w:val="Heading4"/>
        <w:rPr>
          <w:rFonts w:ascii="Times New Roman" w:eastAsia="Times New Roman" w:hAnsi="Times New Roman" w:cs="Times New Roman"/>
          <w:szCs w:val="24"/>
        </w:rPr>
      </w:pPr>
    </w:p>
    <w:p w14:paraId="0A65C8E5" w14:textId="77777777" w:rsidR="003F0541" w:rsidRPr="00E805BA" w:rsidRDefault="003F0541" w:rsidP="003F0541">
      <w:pPr>
        <w:pStyle w:val="Heading4"/>
        <w:rPr>
          <w:rFonts w:ascii="Times New Roman" w:eastAsia="Times New Roman" w:hAnsi="Times New Roman" w:cs="Times New Roman"/>
          <w:szCs w:val="24"/>
        </w:rPr>
      </w:pPr>
      <w:r w:rsidRPr="00E805BA">
        <w:rPr>
          <w:rFonts w:ascii="Times New Roman" w:eastAsia="Times New Roman" w:hAnsi="Times New Roman" w:cs="Times New Roman"/>
          <w:szCs w:val="24"/>
        </w:rPr>
        <w:t>Annual Re</w:t>
      </w:r>
      <w:r w:rsidR="00362389">
        <w:rPr>
          <w:rFonts w:ascii="Times New Roman" w:eastAsia="Times New Roman" w:hAnsi="Times New Roman" w:cs="Times New Roman"/>
          <w:szCs w:val="24"/>
        </w:rPr>
        <w:t>view</w:t>
      </w:r>
    </w:p>
    <w:p w14:paraId="7DD8A58C" w14:textId="77777777" w:rsidR="003F0541" w:rsidRPr="006D7330" w:rsidRDefault="003F0541" w:rsidP="003F0541"/>
    <w:p w14:paraId="7B53DA13" w14:textId="60B49E7E" w:rsidR="003F0541" w:rsidRPr="006D7330" w:rsidRDefault="003F0541" w:rsidP="003F0541">
      <w:r>
        <w:t>All faculty</w:t>
      </w:r>
      <w:r w:rsidRPr="006D7330">
        <w:t xml:space="preserve"> members will submit an</w:t>
      </w:r>
      <w:r w:rsidR="00362389">
        <w:t xml:space="preserve"> Annual Review Report for Faculty </w:t>
      </w:r>
      <w:r w:rsidR="006278C7">
        <w:t>after</w:t>
      </w:r>
      <w:r w:rsidRPr="006D7330">
        <w:t xml:space="preserve"> each calendar year, by February 1.  In this report, faculty members will document their professional activities for the previous calendar year</w:t>
      </w:r>
      <w:r>
        <w:t xml:space="preserve">.  All faculty (except for per-course faculty) are required to provide descriptions of their activities in all three areas: teaching, scholarly activities, and service. </w:t>
      </w:r>
      <w:r w:rsidR="00362389">
        <w:t xml:space="preserve"> </w:t>
      </w:r>
      <w:r>
        <w:t xml:space="preserve">Per-course faculty will complete the Annual </w:t>
      </w:r>
      <w:r w:rsidR="00362389">
        <w:t xml:space="preserve">Review </w:t>
      </w:r>
      <w:r>
        <w:t xml:space="preserve">Report for only the relevant teaching activities. </w:t>
      </w:r>
      <w:r w:rsidR="00BF05DE">
        <w:t xml:space="preserve"> </w:t>
      </w:r>
      <w:r w:rsidRPr="006D7330">
        <w:t xml:space="preserve">The </w:t>
      </w:r>
      <w:r>
        <w:t>Faculty Review Committee (FRC)</w:t>
      </w:r>
      <w:r w:rsidRPr="006D7330">
        <w:t xml:space="preserve"> will make performance </w:t>
      </w:r>
      <w:r>
        <w:t>evaluation recommendations</w:t>
      </w:r>
      <w:r w:rsidRPr="006D7330">
        <w:t xml:space="preserve"> to the Chair based on </w:t>
      </w:r>
      <w:r w:rsidRPr="00332325">
        <w:t xml:space="preserve">departmentally approved criteria </w:t>
      </w:r>
      <w:r w:rsidR="00BF05DE">
        <w:t>outlined below</w:t>
      </w:r>
      <w:r w:rsidRPr="00332325">
        <w:t xml:space="preserve">.  </w:t>
      </w:r>
    </w:p>
    <w:p w14:paraId="5AE21299" w14:textId="77777777" w:rsidR="003F0541" w:rsidRPr="006D7330" w:rsidRDefault="003F0541" w:rsidP="003F0541"/>
    <w:p w14:paraId="2DF04FA0" w14:textId="77777777" w:rsidR="003F0541" w:rsidRPr="006D7330" w:rsidRDefault="003F0541" w:rsidP="003F0541">
      <w:pPr>
        <w:numPr>
          <w:ilvl w:val="0"/>
          <w:numId w:val="1"/>
        </w:numPr>
      </w:pPr>
      <w:r w:rsidRPr="006D7330">
        <w:rPr>
          <w:u w:val="single"/>
        </w:rPr>
        <w:t>Teaching</w:t>
      </w:r>
      <w:r w:rsidRPr="006D7330">
        <w:t>.  Evaluation of teaching performance will normally involve an inspection of the faculty member</w:t>
      </w:r>
      <w:r>
        <w:t>’</w:t>
      </w:r>
      <w:r w:rsidRPr="006D7330">
        <w:t>s teaching portfoli</w:t>
      </w:r>
      <w:r>
        <w:t>o, which may include such items</w:t>
      </w:r>
      <w:r w:rsidRPr="006D7330">
        <w:t xml:space="preserve"> as syllabi</w:t>
      </w:r>
      <w:r>
        <w:t xml:space="preserve"> and </w:t>
      </w:r>
      <w:r w:rsidRPr="006D7330">
        <w:t>student evaluations</w:t>
      </w:r>
      <w:r>
        <w:t xml:space="preserve"> (available from the departmental office)</w:t>
      </w:r>
      <w:r w:rsidRPr="006D7330">
        <w:t xml:space="preserve"> and other documentation.  Documentation normally should include the following:</w:t>
      </w:r>
    </w:p>
    <w:p w14:paraId="772B7102" w14:textId="77777777" w:rsidR="00362389" w:rsidRDefault="00362389" w:rsidP="003F0541">
      <w:pPr>
        <w:tabs>
          <w:tab w:val="left" w:pos="1160"/>
        </w:tabs>
        <w:ind w:left="1160" w:hanging="440"/>
      </w:pPr>
    </w:p>
    <w:p w14:paraId="589B494B" w14:textId="77777777" w:rsidR="003F0541" w:rsidRPr="006D7330" w:rsidRDefault="003F0541" w:rsidP="003F0541">
      <w:pPr>
        <w:tabs>
          <w:tab w:val="left" w:pos="1160"/>
        </w:tabs>
        <w:ind w:left="1160" w:hanging="440"/>
      </w:pPr>
      <w:r w:rsidRPr="006D7330">
        <w:t>A.</w:t>
      </w:r>
      <w:r w:rsidRPr="006D7330">
        <w:tab/>
      </w:r>
      <w:r w:rsidR="00F45AD2">
        <w:t xml:space="preserve">Syllabi for courses </w:t>
      </w:r>
      <w:r w:rsidRPr="006D7330">
        <w:t xml:space="preserve">taught at </w:t>
      </w:r>
      <w:r>
        <w:t>Texas State University during the period</w:t>
      </w:r>
      <w:r w:rsidRPr="006D7330">
        <w:t xml:space="preserve"> being reviewed.</w:t>
      </w:r>
      <w:r w:rsidR="00362389">
        <w:t xml:space="preserve">  </w:t>
      </w:r>
      <w:r w:rsidR="00FC293A" w:rsidRPr="00C331F3">
        <w:rPr>
          <w:color w:val="000000"/>
        </w:rPr>
        <w:t>Syllabi for all courses must be consistent with University policies</w:t>
      </w:r>
      <w:r w:rsidR="00FC293A">
        <w:rPr>
          <w:color w:val="000000"/>
        </w:rPr>
        <w:t xml:space="preserve"> as follows: (a) each syllabus must include the required components </w:t>
      </w:r>
      <w:r w:rsidR="00F868C8">
        <w:rPr>
          <w:color w:val="000000"/>
        </w:rPr>
        <w:t>13.01</w:t>
      </w:r>
      <w:r w:rsidR="00FC293A">
        <w:rPr>
          <w:color w:val="000000"/>
        </w:rPr>
        <w:t>a-</w:t>
      </w:r>
      <w:r w:rsidR="00F868C8">
        <w:rPr>
          <w:color w:val="000000"/>
        </w:rPr>
        <w:t>13.01</w:t>
      </w:r>
      <w:r w:rsidR="00FC293A">
        <w:rPr>
          <w:color w:val="000000"/>
        </w:rPr>
        <w:t xml:space="preserve">j detailed in </w:t>
      </w:r>
      <w:r w:rsidR="00F868C8">
        <w:rPr>
          <w:color w:val="000000"/>
        </w:rPr>
        <w:t>AA/</w:t>
      </w:r>
      <w:r w:rsidR="00FC293A">
        <w:rPr>
          <w:color w:val="000000"/>
        </w:rPr>
        <w:t xml:space="preserve">PPS </w:t>
      </w:r>
      <w:r w:rsidR="00F868C8">
        <w:rPr>
          <w:color w:val="000000"/>
        </w:rPr>
        <w:t>02.03.01</w:t>
      </w:r>
      <w:r w:rsidR="00FC293A">
        <w:rPr>
          <w:color w:val="000000"/>
        </w:rPr>
        <w:t xml:space="preserve"> Conduct and Planning of Courses, (b) instructors must </w:t>
      </w:r>
      <w:r w:rsidR="001F5F37">
        <w:rPr>
          <w:color w:val="000000"/>
        </w:rPr>
        <w:t xml:space="preserve">list contact hours that are consistent with the </w:t>
      </w:r>
      <w:r w:rsidR="00BA5C1C">
        <w:rPr>
          <w:color w:val="000000"/>
        </w:rPr>
        <w:t>Psychology D</w:t>
      </w:r>
      <w:r w:rsidR="001F5F37">
        <w:rPr>
          <w:color w:val="000000"/>
        </w:rPr>
        <w:t xml:space="preserve">epartment </w:t>
      </w:r>
      <w:r w:rsidR="00BA5C1C">
        <w:rPr>
          <w:color w:val="000000"/>
        </w:rPr>
        <w:t xml:space="preserve">Contact Hours </w:t>
      </w:r>
      <w:r w:rsidR="001F5F37">
        <w:rPr>
          <w:color w:val="000000"/>
        </w:rPr>
        <w:t>policy</w:t>
      </w:r>
      <w:r w:rsidR="00FC293A">
        <w:rPr>
          <w:color w:val="000000"/>
        </w:rPr>
        <w:t>, (c) final exams must be held according to the published final exam schedule, and (d) WI courses must have at least 65% of the grade based on written work that includes a paper of at least 500 words.</w:t>
      </w:r>
      <w:r w:rsidR="00FC293A">
        <w:t xml:space="preserve">  The </w:t>
      </w:r>
      <w:r w:rsidR="009B68BE">
        <w:t xml:space="preserve">Chair of the Psychology Department will assign either a faculty or staff member to </w:t>
      </w:r>
      <w:r w:rsidR="00FC293A">
        <w:t>provide the FRC and Chair with a report for each faculty member, indicating any cases of inconsistency with these University policies.</w:t>
      </w:r>
    </w:p>
    <w:p w14:paraId="5857ADEB" w14:textId="77777777" w:rsidR="00362389" w:rsidRDefault="00362389" w:rsidP="003F0541">
      <w:pPr>
        <w:tabs>
          <w:tab w:val="left" w:pos="1160"/>
        </w:tabs>
        <w:ind w:left="1160" w:hanging="440"/>
      </w:pPr>
    </w:p>
    <w:p w14:paraId="36B7EAE3" w14:textId="77777777" w:rsidR="003F0541" w:rsidRPr="006D7330" w:rsidRDefault="003F0541" w:rsidP="003F0541">
      <w:pPr>
        <w:tabs>
          <w:tab w:val="left" w:pos="1160"/>
        </w:tabs>
        <w:ind w:left="1160" w:hanging="440"/>
      </w:pPr>
      <w:r>
        <w:lastRenderedPageBreak/>
        <w:t>B.   Anonymous s</w:t>
      </w:r>
      <w:r w:rsidRPr="006D7330">
        <w:t xml:space="preserve">tudent evaluations of teaching effectiveness completed by students </w:t>
      </w:r>
      <w:r>
        <w:t xml:space="preserve">   </w:t>
      </w:r>
      <w:r w:rsidRPr="006D7330">
        <w:t>enrolled in courses taught during that year.</w:t>
      </w:r>
      <w:r w:rsidR="00362389">
        <w:t xml:space="preserve">  The Department will provide the FRC and Chair with a list of faculty members’ mean </w:t>
      </w:r>
      <w:r w:rsidR="002333CD">
        <w:t>summary</w:t>
      </w:r>
      <w:r w:rsidR="00362389">
        <w:t xml:space="preserve"> evaluation rating</w:t>
      </w:r>
      <w:r w:rsidR="002333CD">
        <w:t>s from the departmental evaluation form</w:t>
      </w:r>
      <w:r w:rsidR="00222386">
        <w:t xml:space="preserve"> </w:t>
      </w:r>
      <w:r w:rsidR="002333CD">
        <w:t>for the</w:t>
      </w:r>
      <w:r w:rsidR="00E23633">
        <w:t xml:space="preserve"> previous calendar year</w:t>
      </w:r>
      <w:r w:rsidR="002333CD">
        <w:t>.</w:t>
      </w:r>
      <w:r w:rsidR="00986EAA">
        <w:t xml:space="preserve">  </w:t>
      </w:r>
      <w:r w:rsidR="00986EAA" w:rsidRPr="00572C66">
        <w:t>Specifically, for each course section taught by the faculty member that year, a section mean evaluation rating from items 1-16 (about both the instructor and course) will be computed, and then these section mean ratings will be averaged for a single value of overall teaching effectiveness based on student evaluations</w:t>
      </w:r>
      <w:r w:rsidR="00986EAA">
        <w:t>.</w:t>
      </w:r>
      <w:r w:rsidR="002333CD">
        <w:t xml:space="preserve">  Effective teaching will be evident with a mean of 4, representing that on average, the students agreed that the instructor was prepared, used class time effectively, and so on</w:t>
      </w:r>
      <w:r w:rsidR="00362389">
        <w:t xml:space="preserve">. </w:t>
      </w:r>
      <w:r w:rsidR="00293AD9">
        <w:t xml:space="preserve"> </w:t>
      </w:r>
      <w:r w:rsidR="00362389">
        <w:t xml:space="preserve">Faculty with </w:t>
      </w:r>
      <w:r w:rsidR="00293AD9">
        <w:t xml:space="preserve">mean </w:t>
      </w:r>
      <w:r w:rsidR="00362389">
        <w:t>summary ratings</w:t>
      </w:r>
      <w:r w:rsidR="00293AD9">
        <w:t xml:space="preserve"> below 4 </w:t>
      </w:r>
      <w:r w:rsidR="00362389">
        <w:t>may be considered to have not met merit expectations, unless the faculty member provides other document</w:t>
      </w:r>
      <w:r w:rsidR="00293AD9">
        <w:t>ation</w:t>
      </w:r>
      <w:r w:rsidR="00362389">
        <w:t xml:space="preserve"> </w:t>
      </w:r>
      <w:r w:rsidR="00293AD9">
        <w:t xml:space="preserve">(from the list </w:t>
      </w:r>
      <w:r w:rsidR="00362389">
        <w:t>below</w:t>
      </w:r>
      <w:r w:rsidR="00293AD9">
        <w:t>)</w:t>
      </w:r>
      <w:r w:rsidR="00362389">
        <w:t xml:space="preserve"> demonstrating teaching effectiveness and commitment to self-development.</w:t>
      </w:r>
      <w:r w:rsidRPr="006D7330">
        <w:t xml:space="preserve">  </w:t>
      </w:r>
    </w:p>
    <w:p w14:paraId="48BACA20" w14:textId="77777777" w:rsidR="00293AD9" w:rsidRDefault="00293AD9" w:rsidP="003F0541">
      <w:pPr>
        <w:tabs>
          <w:tab w:val="left" w:pos="1160"/>
        </w:tabs>
        <w:ind w:left="1160" w:hanging="440"/>
      </w:pPr>
    </w:p>
    <w:p w14:paraId="40E9084A" w14:textId="656E774B" w:rsidR="003F0541" w:rsidRPr="006D7330" w:rsidRDefault="003F0541" w:rsidP="003F0541">
      <w:pPr>
        <w:tabs>
          <w:tab w:val="left" w:pos="1160"/>
        </w:tabs>
        <w:ind w:left="1160" w:hanging="440"/>
      </w:pPr>
      <w:r>
        <w:t xml:space="preserve">C.   </w:t>
      </w:r>
      <w:r w:rsidRPr="006D7330">
        <w:t xml:space="preserve">Development </w:t>
      </w:r>
      <w:r>
        <w:t>of a new course</w:t>
      </w:r>
      <w:r w:rsidR="00322683">
        <w:t xml:space="preserve"> </w:t>
      </w:r>
      <w:r w:rsidR="001A3DFC">
        <w:t>that the faculty member is teaching for the first time</w:t>
      </w:r>
      <w:r w:rsidR="004771EB">
        <w:t xml:space="preserve"> (i.e., a new prep that may or may not be a new course for the Department)</w:t>
      </w:r>
      <w:r w:rsidR="001F5F37">
        <w:t xml:space="preserve">.The </w:t>
      </w:r>
      <w:r w:rsidR="001A3DFC">
        <w:t xml:space="preserve">faculty member </w:t>
      </w:r>
      <w:r w:rsidR="001F5F37">
        <w:t xml:space="preserve">will </w:t>
      </w:r>
      <w:r w:rsidR="001A3DFC">
        <w:t>receive credit to be considered towards merit for the semester that the course is first taught (not when it is proposed and/or prepared), to ensure that credit is not received twice for the work.</w:t>
      </w:r>
      <w:r w:rsidR="00675A94">
        <w:t xml:space="preserve"> Revision of existing courses for study abroad or a distance-based for</w:t>
      </w:r>
      <w:r w:rsidR="003B29C9">
        <w:t>mat will be eligible for merit consideration.</w:t>
      </w:r>
    </w:p>
    <w:p w14:paraId="46EFD07B" w14:textId="77777777" w:rsidR="00322683" w:rsidRDefault="00322683" w:rsidP="003F0541">
      <w:pPr>
        <w:tabs>
          <w:tab w:val="left" w:pos="1160"/>
        </w:tabs>
        <w:ind w:left="1160" w:hanging="440"/>
      </w:pPr>
    </w:p>
    <w:p w14:paraId="791DD11A" w14:textId="77777777" w:rsidR="003F0541" w:rsidRPr="006D7330" w:rsidRDefault="003F0541" w:rsidP="003F0541">
      <w:pPr>
        <w:tabs>
          <w:tab w:val="left" w:pos="1160"/>
        </w:tabs>
        <w:ind w:left="1160" w:hanging="440"/>
      </w:pPr>
      <w:r>
        <w:t xml:space="preserve">D.   </w:t>
      </w:r>
      <w:r w:rsidRPr="006D7330">
        <w:t xml:space="preserve">Direction of major student projects, </w:t>
      </w:r>
      <w:r w:rsidR="003C3F05">
        <w:t>including</w:t>
      </w:r>
      <w:r w:rsidR="00453622">
        <w:t xml:space="preserve"> students who are completing</w:t>
      </w:r>
      <w:r w:rsidR="003C3F05">
        <w:t xml:space="preserve"> </w:t>
      </w:r>
      <w:r w:rsidRPr="006D7330">
        <w:t>honors</w:t>
      </w:r>
      <w:r>
        <w:t xml:space="preserve"> </w:t>
      </w:r>
      <w:r w:rsidRPr="006D7330">
        <w:t>or masters theses</w:t>
      </w:r>
      <w:r w:rsidR="003C3F05">
        <w:t xml:space="preserve">, </w:t>
      </w:r>
      <w:r w:rsidR="00453622">
        <w:t xml:space="preserve">students who are completing </w:t>
      </w:r>
      <w:r w:rsidR="003C3F05">
        <w:t>dissertations, students</w:t>
      </w:r>
      <w:r w:rsidR="00453622">
        <w:t xml:space="preserve"> who</w:t>
      </w:r>
      <w:r w:rsidR="003C3F05">
        <w:t xml:space="preserve"> </w:t>
      </w:r>
      <w:r w:rsidR="00211A8F">
        <w:t xml:space="preserve">are </w:t>
      </w:r>
      <w:r w:rsidR="003C3F05">
        <w:t>enrolled in the Independent Study course</w:t>
      </w:r>
      <w:r w:rsidR="00A04688">
        <w:t xml:space="preserve"> (and the Internship course in the special case that faculty are not compensated for teaching the course due to low enrollment; faculty must make note of such a case</w:t>
      </w:r>
      <w:r w:rsidR="004328FC">
        <w:t xml:space="preserve"> in the annual report</w:t>
      </w:r>
      <w:r w:rsidR="00A04688">
        <w:t>)</w:t>
      </w:r>
      <w:r w:rsidR="003C3F05">
        <w:t>,</w:t>
      </w:r>
      <w:r w:rsidR="00453622">
        <w:t xml:space="preserve"> students who have a contract with the faculty member to complete additional assignments in a course for honors credit, and students who are conducting research on a volunteer basis</w:t>
      </w:r>
      <w:r w:rsidR="00ED17FB">
        <w:t xml:space="preserve"> rather than for course credit</w:t>
      </w:r>
      <w:r w:rsidR="00453622">
        <w:t>.  In the latter two cases, the faculty member should provide a description of his or her tasks and time commitment to the student</w:t>
      </w:r>
      <w:r w:rsidRPr="006D7330">
        <w:t>.</w:t>
      </w:r>
      <w:r w:rsidR="003C3F05">
        <w:t xml:space="preserve">  </w:t>
      </w:r>
      <w:r w:rsidR="00453622">
        <w:t>Also note that t</w:t>
      </w:r>
      <w:r w:rsidR="003C3F05">
        <w:t xml:space="preserve">he faculty member should receive credit to be considered towards merit </w:t>
      </w:r>
      <w:r w:rsidR="00F52328">
        <w:t xml:space="preserve">only </w:t>
      </w:r>
      <w:r w:rsidR="003C3F05">
        <w:t>for the semester that the student project has been successfully defended or completed, to ensure that credit is not received twice for the work.</w:t>
      </w:r>
    </w:p>
    <w:p w14:paraId="07EBCB29" w14:textId="77777777" w:rsidR="00453622" w:rsidRDefault="00453622" w:rsidP="003F0541">
      <w:pPr>
        <w:tabs>
          <w:tab w:val="left" w:pos="1160"/>
        </w:tabs>
        <w:ind w:left="1160" w:hanging="440"/>
      </w:pPr>
    </w:p>
    <w:p w14:paraId="7BDD88FB" w14:textId="77777777" w:rsidR="003F0541" w:rsidRDefault="00453622" w:rsidP="003F0541">
      <w:pPr>
        <w:tabs>
          <w:tab w:val="left" w:pos="1160"/>
        </w:tabs>
        <w:ind w:left="1160" w:hanging="440"/>
      </w:pPr>
      <w:r>
        <w:t>E.</w:t>
      </w:r>
      <w:r w:rsidR="003F0541">
        <w:t xml:space="preserve">   </w:t>
      </w:r>
      <w:r w:rsidR="003F0541" w:rsidRPr="006D7330">
        <w:t>Honors or recognition received for teaching effectiveness</w:t>
      </w:r>
      <w:r>
        <w:t>, including (in order of importance) the teaching awards granted by the University and College of Liberal Arts, recognition of teaching by organizations outside of the University, and recognition by a student organization (e.g., nomination as a favorite professor by Alpha Chi National Honor Society)</w:t>
      </w:r>
      <w:r w:rsidR="003F0541" w:rsidRPr="006D7330">
        <w:t>.</w:t>
      </w:r>
    </w:p>
    <w:p w14:paraId="7CDD0203" w14:textId="77777777" w:rsidR="00453622" w:rsidRDefault="00453622" w:rsidP="003F0541">
      <w:pPr>
        <w:tabs>
          <w:tab w:val="left" w:pos="1160"/>
        </w:tabs>
        <w:ind w:left="1160" w:hanging="440"/>
      </w:pPr>
    </w:p>
    <w:p w14:paraId="45A31E9B" w14:textId="1D5CE77F" w:rsidR="003F0541" w:rsidRPr="006D7330" w:rsidRDefault="00144AEE" w:rsidP="005640D6">
      <w:pPr>
        <w:tabs>
          <w:tab w:val="left" w:pos="1160"/>
        </w:tabs>
        <w:ind w:left="1160" w:hanging="440"/>
      </w:pPr>
      <w:r>
        <w:t>F.</w:t>
      </w:r>
      <w:r w:rsidR="00A3480B">
        <w:t xml:space="preserve"> </w:t>
      </w:r>
      <w:r w:rsidR="00570F42">
        <w:t xml:space="preserve">  </w:t>
      </w:r>
      <w:r w:rsidR="00A9112F">
        <w:t>Professional</w:t>
      </w:r>
      <w:r w:rsidR="00A9112F" w:rsidRPr="006D7330">
        <w:t xml:space="preserve">-development activities including </w:t>
      </w:r>
      <w:r w:rsidR="00A9112F">
        <w:t>attendance at professional development workshops, as well as completion of continuing education</w:t>
      </w:r>
      <w:r w:rsidR="00FC024B">
        <w:t xml:space="preserve"> (CE)</w:t>
      </w:r>
      <w:r w:rsidR="00A9112F">
        <w:t xml:space="preserve"> coursework</w:t>
      </w:r>
      <w:r w:rsidR="00AB4B08">
        <w:t xml:space="preserve"> and submission of teaching grants</w:t>
      </w:r>
      <w:r w:rsidR="00A9112F">
        <w:t>.</w:t>
      </w:r>
      <w:r w:rsidR="00742B9D">
        <w:t xml:space="preserve"> </w:t>
      </w:r>
      <w:r w:rsidR="00FC024B">
        <w:t xml:space="preserve">When </w:t>
      </w:r>
      <w:r w:rsidR="00D93ED1">
        <w:t xml:space="preserve">listing </w:t>
      </w:r>
      <w:r w:rsidR="00FC024B">
        <w:t xml:space="preserve">a workshop or CE course, the faculty member should include the hours of the event.  If the time commitment is not specified, the FRC and Chair will assume that the workshop or course was only 1 hour in duration.  </w:t>
      </w:r>
      <w:r w:rsidR="00225E69" w:rsidRPr="009A2A0C">
        <w:t xml:space="preserve">Up to 6 </w:t>
      </w:r>
      <w:r w:rsidR="00AB466F">
        <w:t>professional development</w:t>
      </w:r>
      <w:r w:rsidR="00AB466F" w:rsidRPr="009A2A0C">
        <w:t xml:space="preserve"> </w:t>
      </w:r>
      <w:r w:rsidR="00225E69" w:rsidRPr="009A2A0C">
        <w:t xml:space="preserve">hours tied to diversity </w:t>
      </w:r>
      <w:r w:rsidR="00225E69" w:rsidRPr="0083675C">
        <w:t>(based on race, color, national origin, age, sex, religion, disability, veterans’ status, sexual orientation, gender identity, and gender expression)</w:t>
      </w:r>
      <w:r w:rsidR="00225E69">
        <w:t xml:space="preserve"> may</w:t>
      </w:r>
      <w:r w:rsidR="00225E69" w:rsidRPr="009A2A0C">
        <w:t xml:space="preserve"> count double (up to 12 </w:t>
      </w:r>
      <w:r w:rsidR="00225E69" w:rsidRPr="009A2A0C">
        <w:lastRenderedPageBreak/>
        <w:t>hours).</w:t>
      </w:r>
      <w:r w:rsidR="00225E69">
        <w:t xml:space="preserve"> </w:t>
      </w:r>
      <w:r w:rsidR="00D93ED1">
        <w:t xml:space="preserve">Faculty should not list the same workshop or course in multiple areas (e.g., both teaching and scholarship). </w:t>
      </w:r>
      <w:r w:rsidR="00742B9D">
        <w:t>Note that</w:t>
      </w:r>
      <w:r w:rsidR="007E055E">
        <w:t xml:space="preserve"> </w:t>
      </w:r>
      <w:r w:rsidR="008F47BB">
        <w:t>C</w:t>
      </w:r>
      <w:r w:rsidR="007E055E">
        <w:t>linical</w:t>
      </w:r>
      <w:r w:rsidR="00742B9D">
        <w:t xml:space="preserve"> </w:t>
      </w:r>
      <w:r w:rsidR="008F47BB">
        <w:t>F</w:t>
      </w:r>
      <w:r w:rsidR="00742B9D">
        <w:t>aculty should include these professional development activities in the scholarship section of the annual report</w:t>
      </w:r>
      <w:r w:rsidR="007E055E">
        <w:t xml:space="preserve">, per </w:t>
      </w:r>
      <w:r w:rsidR="00F868C8">
        <w:t>AA/</w:t>
      </w:r>
      <w:r w:rsidR="007E055E" w:rsidRPr="00183142">
        <w:t xml:space="preserve">PPS </w:t>
      </w:r>
      <w:r w:rsidR="00F868C8">
        <w:t>04.01.22</w:t>
      </w:r>
      <w:r w:rsidR="007E055E" w:rsidRPr="00183142">
        <w:t xml:space="preserve"> Clinical Faculty Appointments</w:t>
      </w:r>
      <w:r w:rsidR="00742B9D">
        <w:t>.</w:t>
      </w:r>
      <w:r w:rsidR="007E055E">
        <w:t xml:space="preserve">  </w:t>
      </w:r>
    </w:p>
    <w:p w14:paraId="1DDA0158" w14:textId="77777777" w:rsidR="00144AEE" w:rsidRDefault="00144AEE" w:rsidP="003F0541">
      <w:pPr>
        <w:tabs>
          <w:tab w:val="left" w:pos="1160"/>
        </w:tabs>
        <w:ind w:left="1160" w:hanging="440"/>
      </w:pPr>
    </w:p>
    <w:p w14:paraId="4F724910" w14:textId="77777777" w:rsidR="0099111F" w:rsidRDefault="00144AEE" w:rsidP="003F0541">
      <w:pPr>
        <w:tabs>
          <w:tab w:val="left" w:pos="1160"/>
        </w:tabs>
        <w:ind w:left="1160" w:hanging="440"/>
      </w:pPr>
      <w:r>
        <w:t>G.</w:t>
      </w:r>
      <w:r w:rsidR="003E1448">
        <w:t xml:space="preserve">   </w:t>
      </w:r>
      <w:r w:rsidR="0099111F">
        <w:t>Publication of a textbook or study guide. Publications that have an ISBN (i.e., intended for wide dissemination) will be counted more than those without an ISBN (i.e., intended for local use). The faculty member will receive credit to be considered towards merit for the semester that the book is published, to ensure that credit is not received twice for the work.</w:t>
      </w:r>
    </w:p>
    <w:p w14:paraId="6E69B836" w14:textId="77777777" w:rsidR="0099111F" w:rsidRDefault="0099111F" w:rsidP="003F0541">
      <w:pPr>
        <w:tabs>
          <w:tab w:val="left" w:pos="1160"/>
        </w:tabs>
        <w:ind w:left="1160" w:hanging="440"/>
      </w:pPr>
    </w:p>
    <w:p w14:paraId="68CCE1CE" w14:textId="525280E5" w:rsidR="003F0541" w:rsidRDefault="0099111F" w:rsidP="003F0541">
      <w:pPr>
        <w:tabs>
          <w:tab w:val="left" w:pos="1160"/>
        </w:tabs>
        <w:ind w:left="1160" w:hanging="440"/>
      </w:pPr>
      <w:r>
        <w:t xml:space="preserve">H. </w:t>
      </w:r>
      <w:r w:rsidR="003F0541" w:rsidRPr="006D7330">
        <w:t>Other documentation the faculty member wishes to submit.</w:t>
      </w:r>
      <w:r w:rsidR="005640D6">
        <w:t xml:space="preserve">  </w:t>
      </w:r>
      <w:r w:rsidR="00A9112F">
        <w:t>E</w:t>
      </w:r>
      <w:r w:rsidR="005640D6">
        <w:t>xample</w:t>
      </w:r>
      <w:r w:rsidR="00A9112F">
        <w:t>s</w:t>
      </w:r>
      <w:r w:rsidR="005640D6">
        <w:t xml:space="preserve"> </w:t>
      </w:r>
      <w:r w:rsidR="00A9112F">
        <w:t xml:space="preserve">are awards received by students </w:t>
      </w:r>
      <w:r w:rsidR="00503EE8">
        <w:t>who</w:t>
      </w:r>
      <w:r w:rsidR="00A9112F">
        <w:t xml:space="preserve"> the faculty mentored, and the</w:t>
      </w:r>
      <w:r w:rsidR="005640D6">
        <w:t xml:space="preserve"> inclusion of student letters recognizing the faculty member’s contribution to the</w:t>
      </w:r>
      <w:r w:rsidR="003E1448">
        <w:t>ir</w:t>
      </w:r>
      <w:r w:rsidR="005640D6">
        <w:t xml:space="preserve"> academic careers.</w:t>
      </w:r>
      <w:r w:rsidR="00F45AD2">
        <w:t xml:space="preserve">  </w:t>
      </w:r>
      <w:r w:rsidR="00F45AD2" w:rsidRPr="009A2A0C">
        <w:t>Note that teaching additional courses above the required minimum, as well as teaching courses in the summer, will not be counted towards</w:t>
      </w:r>
      <w:r w:rsidR="00B05A52" w:rsidRPr="00C30AE9">
        <w:t xml:space="preserve"> additional</w:t>
      </w:r>
      <w:r w:rsidR="00F45AD2" w:rsidRPr="009A2A0C">
        <w:t xml:space="preserve"> merit </w:t>
      </w:r>
      <w:r w:rsidR="00B05A52" w:rsidRPr="00C30AE9">
        <w:t xml:space="preserve">consideration; this does not preclude merit consideration for the development of new courses in the summer. </w:t>
      </w:r>
      <w:r w:rsidR="00DF3382">
        <w:t>One exception may be taking over a course in the middle of the semester for a faculty member going on family or medical leave, as this special circumstance may be considered going above and beyond to help the Department</w:t>
      </w:r>
      <w:r w:rsidR="00F45AD2">
        <w:t>.</w:t>
      </w:r>
      <w:r w:rsidR="00A1137B">
        <w:rPr>
          <w:color w:val="000000"/>
        </w:rPr>
        <w:t xml:space="preserve">  This </w:t>
      </w:r>
      <w:r w:rsidR="00977622">
        <w:rPr>
          <w:color w:val="000000"/>
        </w:rPr>
        <w:t>other</w:t>
      </w:r>
      <w:r w:rsidR="00A1137B">
        <w:rPr>
          <w:color w:val="000000"/>
        </w:rPr>
        <w:t xml:space="preserve"> documentation and justification of additional merit </w:t>
      </w:r>
      <w:r w:rsidR="00FA6408">
        <w:rPr>
          <w:color w:val="000000"/>
        </w:rPr>
        <w:t>should</w:t>
      </w:r>
      <w:r w:rsidR="00A1137B">
        <w:rPr>
          <w:color w:val="000000"/>
        </w:rPr>
        <w:t xml:space="preserve"> be described by the faculty member in the comment boxes and/or uploaded documents</w:t>
      </w:r>
      <w:r w:rsidR="00DB06BC">
        <w:rPr>
          <w:color w:val="000000"/>
        </w:rPr>
        <w:t>.</w:t>
      </w:r>
    </w:p>
    <w:p w14:paraId="16FF9526" w14:textId="77777777" w:rsidR="005640D6" w:rsidRDefault="005640D6" w:rsidP="003F0541">
      <w:pPr>
        <w:tabs>
          <w:tab w:val="left" w:pos="1160"/>
        </w:tabs>
        <w:ind w:left="1160" w:hanging="440"/>
      </w:pPr>
    </w:p>
    <w:p w14:paraId="66098933" w14:textId="77777777" w:rsidR="00A6706A" w:rsidRDefault="00A6706A" w:rsidP="00A6706A">
      <w:pPr>
        <w:tabs>
          <w:tab w:val="left" w:pos="1160"/>
        </w:tabs>
        <w:ind w:left="720"/>
      </w:pPr>
      <w:r w:rsidRPr="00DD45E1">
        <w:t xml:space="preserve">In an effort to be as objective and fair as possible, the FRC will use the rubric </w:t>
      </w:r>
      <w:r>
        <w:t>in Appendix A</w:t>
      </w:r>
      <w:r w:rsidRPr="00DD45E1">
        <w:t xml:space="preserve"> </w:t>
      </w:r>
      <w:r>
        <w:t>for</w:t>
      </w:r>
      <w:r w:rsidRPr="00DD45E1">
        <w:t xml:space="preserve"> determining the merit points in teaching for each faculty member.</w:t>
      </w:r>
      <w:r w:rsidR="009A24E4">
        <w:t xml:space="preserve"> Faculty members should submit the completed rubric along with their annual report.</w:t>
      </w:r>
    </w:p>
    <w:p w14:paraId="16E164CA" w14:textId="77777777" w:rsidR="00A6706A" w:rsidRPr="00A6706A" w:rsidRDefault="00A6706A" w:rsidP="00A6706A"/>
    <w:p w14:paraId="5FE44524" w14:textId="77777777" w:rsidR="003F0541" w:rsidRPr="006D7330" w:rsidRDefault="003F0541" w:rsidP="003F0541">
      <w:pPr>
        <w:numPr>
          <w:ilvl w:val="0"/>
          <w:numId w:val="1"/>
        </w:numPr>
      </w:pPr>
      <w:r>
        <w:rPr>
          <w:u w:val="single"/>
        </w:rPr>
        <w:t>S</w:t>
      </w:r>
      <w:r w:rsidRPr="00D8044B">
        <w:rPr>
          <w:u w:val="single"/>
        </w:rPr>
        <w:t>cholarly Activity</w:t>
      </w:r>
      <w:r w:rsidRPr="00D8044B">
        <w:t xml:space="preserve">.  </w:t>
      </w:r>
      <w:r>
        <w:t>S</w:t>
      </w:r>
      <w:r w:rsidRPr="00D8044B">
        <w:t>cholarly</w:t>
      </w:r>
      <w:r w:rsidRPr="006D7330">
        <w:t xml:space="preserve"> output will be evaluated on its quantity,</w:t>
      </w:r>
      <w:r w:rsidR="00183F8A">
        <w:t xml:space="preserve"> the level of authorship,</w:t>
      </w:r>
      <w:r w:rsidRPr="006D7330">
        <w:t xml:space="preserve"> its quality</w:t>
      </w:r>
      <w:r w:rsidR="009136D8">
        <w:t>,</w:t>
      </w:r>
      <w:r w:rsidRPr="006D7330">
        <w:t xml:space="preserve"> and its contributions to the discipline.</w:t>
      </w:r>
      <w:r w:rsidR="00183F8A">
        <w:t xml:space="preserve">  Regarding authorship, being a first or primary author is worth more than being a co-author.</w:t>
      </w:r>
      <w:r w:rsidR="009136D8">
        <w:t xml:space="preserve"> </w:t>
      </w:r>
      <w:r w:rsidRPr="006D7330">
        <w:t xml:space="preserve"> In evaluating the value of a scholarly contribution, impact factors, such as the prestige of the outlet, citation rates, and general circulation should be considered.</w:t>
      </w:r>
      <w:r w:rsidR="00183F8A">
        <w:t xml:space="preserve">  Note that faculty will receive merit credit only once for a given item.  For publications, faculty will receive merit credit for the year that the </w:t>
      </w:r>
      <w:r w:rsidR="00BA6F10">
        <w:t>work</w:t>
      </w:r>
      <w:r w:rsidR="00183F8A">
        <w:t xml:space="preserve"> is officially published with complete citation information</w:t>
      </w:r>
      <w:r w:rsidR="00BA6F10">
        <w:t>, or (at the faculty member’s request) is published online early and has been assigned a doi</w:t>
      </w:r>
      <w:r w:rsidR="00183F8A">
        <w:t xml:space="preserve">.  For funded multi-year grants, faculty will receive merit credit for the year that the grant </w:t>
      </w:r>
      <w:r w:rsidR="00146304">
        <w:t>i</w:t>
      </w:r>
      <w:r w:rsidR="00183F8A">
        <w:t xml:space="preserve">s first awarded, given that </w:t>
      </w:r>
      <w:r w:rsidR="00183F8A" w:rsidRPr="00183F8A">
        <w:t>these larger grants will be worth more in merit than the smaller one-year grants</w:t>
      </w:r>
      <w:r w:rsidR="00183F8A">
        <w:t>.</w:t>
      </w:r>
      <w:r w:rsidRPr="006D7330">
        <w:t xml:space="preserve">  Documentation normally should include the following: </w:t>
      </w:r>
    </w:p>
    <w:p w14:paraId="533D52EA" w14:textId="77777777" w:rsidR="00B267C7" w:rsidRDefault="00B267C7" w:rsidP="000D0582">
      <w:pPr>
        <w:tabs>
          <w:tab w:val="left" w:pos="1080"/>
        </w:tabs>
        <w:ind w:left="1080" w:hanging="360"/>
      </w:pPr>
    </w:p>
    <w:p w14:paraId="72A2B6DE" w14:textId="77777777" w:rsidR="003F0541" w:rsidRPr="006D7330" w:rsidRDefault="003F0541" w:rsidP="000D0582">
      <w:pPr>
        <w:tabs>
          <w:tab w:val="left" w:pos="1080"/>
        </w:tabs>
        <w:ind w:left="1080" w:hanging="360"/>
      </w:pPr>
      <w:r w:rsidRPr="006D7330">
        <w:t>A.</w:t>
      </w:r>
      <w:r w:rsidRPr="006D7330">
        <w:tab/>
        <w:t>Refereed publications</w:t>
      </w:r>
      <w:r>
        <w:t xml:space="preserve"> (submit</w:t>
      </w:r>
      <w:r w:rsidR="00485A28">
        <w:t>ted</w:t>
      </w:r>
      <w:r>
        <w:t xml:space="preserve"> </w:t>
      </w:r>
      <w:r w:rsidR="00485A28">
        <w:t>electronically</w:t>
      </w:r>
      <w:r>
        <w:t>)</w:t>
      </w:r>
      <w:r w:rsidRPr="006D7330">
        <w:t xml:space="preserve"> in academic journals, books, </w:t>
      </w:r>
      <w:r w:rsidR="00FF45CD">
        <w:t xml:space="preserve">and </w:t>
      </w:r>
      <w:r w:rsidRPr="006D7330">
        <w:t xml:space="preserve">book chapters, </w:t>
      </w:r>
      <w:r w:rsidR="00CA4C6A">
        <w:t>as well as funded</w:t>
      </w:r>
      <w:r w:rsidRPr="006D7330">
        <w:t xml:space="preserve"> external grants. </w:t>
      </w:r>
      <w:r w:rsidR="00FF45CD">
        <w:t xml:space="preserve"> </w:t>
      </w:r>
      <w:r w:rsidR="00FF45CD" w:rsidRPr="00FF45CD">
        <w:t>For refereed books and book chapters, the faculty member must provide documentation of the peer-reviewing (e.g., a document with the faculty member’s responses to the peer comments).  If no evidence is provided, the book or book chapter will be treated as non-refereed.</w:t>
      </w:r>
    </w:p>
    <w:p w14:paraId="674E5703" w14:textId="77777777" w:rsidR="00CA4C6A" w:rsidRDefault="00CA4C6A" w:rsidP="000D0582">
      <w:pPr>
        <w:tabs>
          <w:tab w:val="left" w:pos="1080"/>
        </w:tabs>
        <w:ind w:left="1080" w:hanging="360"/>
      </w:pPr>
    </w:p>
    <w:p w14:paraId="436CEB60" w14:textId="77777777" w:rsidR="003F0541" w:rsidRPr="006D7330" w:rsidRDefault="003F0541" w:rsidP="000D0582">
      <w:pPr>
        <w:tabs>
          <w:tab w:val="left" w:pos="1080"/>
        </w:tabs>
        <w:ind w:left="1080" w:hanging="360"/>
      </w:pPr>
      <w:r w:rsidRPr="006D7330">
        <w:t>B.</w:t>
      </w:r>
      <w:r w:rsidRPr="006D7330">
        <w:tab/>
        <w:t>Non-refereed publications</w:t>
      </w:r>
      <w:r>
        <w:t xml:space="preserve"> (submit</w:t>
      </w:r>
      <w:r w:rsidR="00485A28">
        <w:t>ted</w:t>
      </w:r>
      <w:r>
        <w:t xml:space="preserve"> </w:t>
      </w:r>
      <w:r w:rsidR="00485A28">
        <w:t>electronically</w:t>
      </w:r>
      <w:r>
        <w:t>)</w:t>
      </w:r>
      <w:r w:rsidRPr="006D7330">
        <w:t xml:space="preserve"> in academic journals, books, book chapters, monographs</w:t>
      </w:r>
      <w:r w:rsidR="00F86172">
        <w:t>,</w:t>
      </w:r>
      <w:r w:rsidRPr="006D7330">
        <w:t xml:space="preserve"> and book reviews.</w:t>
      </w:r>
    </w:p>
    <w:p w14:paraId="448EA12F" w14:textId="77777777" w:rsidR="003F0541" w:rsidRPr="006D7330" w:rsidRDefault="003F0541" w:rsidP="000D0582">
      <w:pPr>
        <w:tabs>
          <w:tab w:val="left" w:pos="1080"/>
        </w:tabs>
        <w:ind w:left="1080" w:hanging="360"/>
      </w:pPr>
    </w:p>
    <w:p w14:paraId="2ECA63B7" w14:textId="77777777" w:rsidR="003F0541" w:rsidRPr="006D7330" w:rsidRDefault="003F0541" w:rsidP="000D0582">
      <w:pPr>
        <w:tabs>
          <w:tab w:val="left" w:pos="1080"/>
        </w:tabs>
        <w:ind w:left="1080" w:hanging="360"/>
      </w:pPr>
      <w:r w:rsidRPr="006D7330">
        <w:lastRenderedPageBreak/>
        <w:t>C.</w:t>
      </w:r>
      <w:r w:rsidRPr="006D7330">
        <w:tab/>
        <w:t>Internally funded grants</w:t>
      </w:r>
      <w:r w:rsidR="00200880">
        <w:t>, honors or recognition received for scholarship,</w:t>
      </w:r>
      <w:r w:rsidRPr="006D7330">
        <w:t xml:space="preserve"> and papers published in conference proceedings.</w:t>
      </w:r>
      <w:r w:rsidR="00200880">
        <w:t xml:space="preserve">  Note that if these conference papers are refereed and made available publicly outside of the conference</w:t>
      </w:r>
      <w:r w:rsidR="00243787">
        <w:t xml:space="preserve"> (e.g., published in a special issue of a journal produced by the conference’s organization)</w:t>
      </w:r>
      <w:r w:rsidR="00200880">
        <w:t>, then they may be included in Part A with other refereed publications.</w:t>
      </w:r>
    </w:p>
    <w:p w14:paraId="25601C94" w14:textId="77777777" w:rsidR="006B70DC" w:rsidRPr="006D7330" w:rsidRDefault="006B70DC" w:rsidP="00200880">
      <w:pPr>
        <w:tabs>
          <w:tab w:val="left" w:pos="1080"/>
        </w:tabs>
      </w:pPr>
    </w:p>
    <w:p w14:paraId="73351CF9" w14:textId="77777777" w:rsidR="003F0541" w:rsidRPr="006D7330" w:rsidRDefault="00D101AF" w:rsidP="00CA4C6A">
      <w:pPr>
        <w:tabs>
          <w:tab w:val="left" w:pos="1080"/>
        </w:tabs>
        <w:ind w:left="1080" w:hanging="360"/>
      </w:pPr>
      <w:r>
        <w:t>D.</w:t>
      </w:r>
      <w:r>
        <w:tab/>
      </w:r>
      <w:r w:rsidR="00200880">
        <w:t xml:space="preserve">Oral presentations </w:t>
      </w:r>
      <w:r w:rsidR="003F0541" w:rsidRPr="006D7330">
        <w:t>at state, regional, national</w:t>
      </w:r>
      <w:r w:rsidR="003F0541">
        <w:t>,</w:t>
      </w:r>
      <w:r w:rsidR="003F0541" w:rsidRPr="006D7330">
        <w:t xml:space="preserve"> or international professional conventions</w:t>
      </w:r>
      <w:r w:rsidR="00571091">
        <w:t>, and non-funded grants</w:t>
      </w:r>
      <w:r w:rsidR="003F0541" w:rsidRPr="006D7330">
        <w:t>.</w:t>
      </w:r>
      <w:r w:rsidR="00286BEC">
        <w:t xml:space="preserve"> </w:t>
      </w:r>
    </w:p>
    <w:p w14:paraId="57A57A09" w14:textId="77777777" w:rsidR="003F0541" w:rsidRPr="006D7330" w:rsidRDefault="003F0541" w:rsidP="000D0582">
      <w:pPr>
        <w:tabs>
          <w:tab w:val="left" w:pos="1080"/>
          <w:tab w:val="num" w:pos="1170"/>
        </w:tabs>
        <w:ind w:left="1080" w:hanging="360"/>
      </w:pPr>
    </w:p>
    <w:p w14:paraId="02479599" w14:textId="77777777" w:rsidR="003F0541" w:rsidRDefault="00D101AF" w:rsidP="00D101AF">
      <w:pPr>
        <w:tabs>
          <w:tab w:val="left" w:pos="1080"/>
        </w:tabs>
        <w:ind w:left="1080" w:hanging="360"/>
      </w:pPr>
      <w:r>
        <w:t>E.</w:t>
      </w:r>
      <w:r>
        <w:tab/>
      </w:r>
      <w:r w:rsidR="00200880">
        <w:t xml:space="preserve">Poster presentations </w:t>
      </w:r>
      <w:r w:rsidR="003F0541" w:rsidRPr="006D7330">
        <w:t>at conventions, grant re</w:t>
      </w:r>
      <w:r w:rsidR="003F0541">
        <w:t xml:space="preserve">ports, and other unpublished </w:t>
      </w:r>
      <w:r w:rsidR="003F0541" w:rsidRPr="006D7330">
        <w:t xml:space="preserve">reports. </w:t>
      </w:r>
    </w:p>
    <w:p w14:paraId="0F42B865" w14:textId="77777777" w:rsidR="00FF45CD" w:rsidRPr="006D7330" w:rsidRDefault="00FF45CD" w:rsidP="00D101AF">
      <w:pPr>
        <w:tabs>
          <w:tab w:val="left" w:pos="1080"/>
        </w:tabs>
        <w:ind w:left="1080" w:hanging="360"/>
      </w:pPr>
    </w:p>
    <w:p w14:paraId="0DA8BBCF" w14:textId="77777777" w:rsidR="00B175C1" w:rsidRPr="006D7330" w:rsidRDefault="00B175C1" w:rsidP="00B175C1">
      <w:pPr>
        <w:tabs>
          <w:tab w:val="left" w:pos="1080"/>
        </w:tabs>
        <w:ind w:left="1080" w:hanging="360"/>
      </w:pPr>
      <w:r>
        <w:t>F.</w:t>
      </w:r>
      <w:r>
        <w:tab/>
        <w:t xml:space="preserve">Presentation of one’s own research at a local venue (e.g., </w:t>
      </w:r>
      <w:r w:rsidRPr="00B175C1">
        <w:t>brown bag presentation, co-author on a paper presented at the undergraduate or graduate research conference on campus</w:t>
      </w:r>
      <w:r>
        <w:t>)</w:t>
      </w:r>
      <w:r w:rsidRPr="006D7330">
        <w:t>.</w:t>
      </w:r>
      <w:r>
        <w:t xml:space="preserve">  Note that local non-research presentations (e.g., guest lecture in a colleague’s class on a topic such as clinical psychology, talk for a student organization on a topic such as graduate school) belong in the service section of the annual report.</w:t>
      </w:r>
      <w:r w:rsidRPr="006D7330">
        <w:t xml:space="preserve"> </w:t>
      </w:r>
    </w:p>
    <w:p w14:paraId="1D39B8C3" w14:textId="77777777" w:rsidR="00B175C1" w:rsidRDefault="00B175C1" w:rsidP="00B175C1">
      <w:pPr>
        <w:tabs>
          <w:tab w:val="left" w:pos="1080"/>
          <w:tab w:val="num" w:pos="1170"/>
        </w:tabs>
        <w:ind w:left="1080" w:hanging="360"/>
      </w:pPr>
    </w:p>
    <w:p w14:paraId="4A71CC08" w14:textId="77777777" w:rsidR="003F0541" w:rsidRDefault="00B175C1" w:rsidP="00D101AF">
      <w:pPr>
        <w:tabs>
          <w:tab w:val="left" w:pos="1080"/>
          <w:tab w:val="num" w:pos="1170"/>
        </w:tabs>
        <w:ind w:left="1080" w:hanging="360"/>
      </w:pPr>
      <w:r>
        <w:t>G.</w:t>
      </w:r>
      <w:r w:rsidR="00D101AF">
        <w:tab/>
      </w:r>
      <w:r w:rsidR="003F0541" w:rsidRPr="006D7330">
        <w:t>Other documentation the faculty member wishes to submit.</w:t>
      </w:r>
      <w:r w:rsidR="00A1137B" w:rsidRPr="00A1137B">
        <w:t xml:space="preserve">  </w:t>
      </w:r>
      <w:r w:rsidR="00A1137B" w:rsidRPr="00A1137B">
        <w:rPr>
          <w:color w:val="000000"/>
        </w:rPr>
        <w:t xml:space="preserve">Some examples include </w:t>
      </w:r>
      <w:r w:rsidR="001864A4">
        <w:rPr>
          <w:color w:val="000000"/>
        </w:rPr>
        <w:t xml:space="preserve">notes about authorship credit, </w:t>
      </w:r>
      <w:r w:rsidR="00A1137B" w:rsidRPr="00A1137B">
        <w:rPr>
          <w:color w:val="000000"/>
        </w:rPr>
        <w:t>doing a significantly greater amount of work than is typical on a second edition of a book, publishing an article with five or more studies that is well beyond the norm, and receiving an exceptionally large grant</w:t>
      </w:r>
      <w:r w:rsidR="001864A4">
        <w:rPr>
          <w:color w:val="000000"/>
        </w:rPr>
        <w:t>, or receiving a prestigious invitation to make a presentation.</w:t>
      </w:r>
      <w:r w:rsidR="00DB06BC">
        <w:rPr>
          <w:color w:val="000000"/>
        </w:rPr>
        <w:t xml:space="preserve"> </w:t>
      </w:r>
      <w:r w:rsidR="00A1137B">
        <w:rPr>
          <w:color w:val="000000"/>
        </w:rPr>
        <w:t xml:space="preserve">This </w:t>
      </w:r>
      <w:r w:rsidR="00977622">
        <w:rPr>
          <w:color w:val="000000"/>
        </w:rPr>
        <w:t>other</w:t>
      </w:r>
      <w:r w:rsidR="00A1137B">
        <w:rPr>
          <w:color w:val="000000"/>
        </w:rPr>
        <w:t xml:space="preserve"> documentation and justification of additional merit </w:t>
      </w:r>
      <w:r w:rsidR="00FA6408">
        <w:rPr>
          <w:color w:val="000000"/>
        </w:rPr>
        <w:t>should</w:t>
      </w:r>
      <w:r w:rsidR="00A1137B">
        <w:rPr>
          <w:color w:val="000000"/>
        </w:rPr>
        <w:t xml:space="preserve"> be described by the faculty member in the comment boxes and/or uploaded documents.</w:t>
      </w:r>
    </w:p>
    <w:p w14:paraId="0AAD3BC8" w14:textId="77777777" w:rsidR="006A789A" w:rsidRDefault="006A789A" w:rsidP="00D101AF">
      <w:pPr>
        <w:tabs>
          <w:tab w:val="left" w:pos="1080"/>
          <w:tab w:val="num" w:pos="1170"/>
        </w:tabs>
        <w:ind w:left="1080" w:hanging="360"/>
      </w:pPr>
    </w:p>
    <w:p w14:paraId="32DB1836" w14:textId="77777777" w:rsidR="00CA4C6A" w:rsidRDefault="00CA4C6A" w:rsidP="00CA4C6A">
      <w:pPr>
        <w:ind w:left="720"/>
      </w:pPr>
      <w:r>
        <w:t xml:space="preserve">Per </w:t>
      </w:r>
      <w:r w:rsidR="009B1B49">
        <w:t>AA/</w:t>
      </w:r>
      <w:r>
        <w:t xml:space="preserve">PPS </w:t>
      </w:r>
      <w:r w:rsidR="009B1B49">
        <w:t>04.01.20</w:t>
      </w:r>
      <w:r>
        <w:t xml:space="preserve"> and the Department of Psychology’s Faculty Workload and Performance Evaluation Policy, scholarship expectations differ by faculty rank, which should be considered in assigning merit ratings for this category.</w:t>
      </w:r>
    </w:p>
    <w:p w14:paraId="1A3C9E12" w14:textId="77777777" w:rsidR="00386FB5" w:rsidRPr="00386FB5" w:rsidRDefault="00386FB5" w:rsidP="00CA4C6A">
      <w:pPr>
        <w:ind w:left="720"/>
        <w:rPr>
          <w:i/>
          <w:sz w:val="16"/>
          <w:szCs w:val="16"/>
        </w:rPr>
      </w:pPr>
    </w:p>
    <w:p w14:paraId="2288D2D6" w14:textId="77777777" w:rsidR="00CA4C6A" w:rsidRDefault="00CA4C6A" w:rsidP="00CA4C6A">
      <w:pPr>
        <w:ind w:left="720"/>
      </w:pPr>
      <w:r w:rsidRPr="006B6C6B">
        <w:rPr>
          <w:i/>
        </w:rPr>
        <w:t>Tenure-track faculty</w:t>
      </w:r>
      <w:r>
        <w:t xml:space="preserve"> and </w:t>
      </w:r>
      <w:r w:rsidRPr="006B6C6B">
        <w:rPr>
          <w:i/>
        </w:rPr>
        <w:t>tenured faculty on Option B</w:t>
      </w:r>
      <w:r>
        <w:t xml:space="preserve"> (course release for scholarly activity), for the purpose of meeting merit expectations in this category, are expected to produce at least one first-authored refer</w:t>
      </w:r>
      <w:r w:rsidR="00F623E8">
        <w:t>e</w:t>
      </w:r>
      <w:r>
        <w:t>ed publication, two co-authored refereed publications, or a large (50K+) funded grant proposal during a two-year period.  Thus, they must show progress each year toward meeting this objective.</w:t>
      </w:r>
    </w:p>
    <w:p w14:paraId="760D1B5A" w14:textId="77777777" w:rsidR="00386FB5" w:rsidRPr="00386FB5" w:rsidRDefault="00386FB5" w:rsidP="00CA4C6A">
      <w:pPr>
        <w:ind w:left="720"/>
        <w:rPr>
          <w:i/>
          <w:sz w:val="16"/>
          <w:szCs w:val="16"/>
        </w:rPr>
      </w:pPr>
    </w:p>
    <w:p w14:paraId="6FDF5410" w14:textId="77777777" w:rsidR="00CA4C6A" w:rsidRDefault="00CA4C6A" w:rsidP="00CA4C6A">
      <w:pPr>
        <w:ind w:left="720"/>
      </w:pPr>
      <w:r w:rsidRPr="006B6C6B">
        <w:rPr>
          <w:i/>
        </w:rPr>
        <w:t>Tenured faculty on Option A</w:t>
      </w:r>
      <w:r>
        <w:t xml:space="preserve"> (no course release for scholarship) are expected to have at least one conference presentation or the equivalent each year.</w:t>
      </w:r>
    </w:p>
    <w:p w14:paraId="65A8DA21" w14:textId="77777777" w:rsidR="00386FB5" w:rsidRPr="00386FB5" w:rsidRDefault="00386FB5" w:rsidP="00CA4C6A">
      <w:pPr>
        <w:ind w:left="720"/>
        <w:rPr>
          <w:i/>
          <w:sz w:val="16"/>
          <w:szCs w:val="16"/>
        </w:rPr>
      </w:pPr>
    </w:p>
    <w:p w14:paraId="19C5089F" w14:textId="77777777" w:rsidR="00CA4C6A" w:rsidRDefault="00CA4C6A" w:rsidP="00FF45CD">
      <w:pPr>
        <w:ind w:left="720" w:right="-180"/>
      </w:pPr>
      <w:r>
        <w:rPr>
          <w:i/>
        </w:rPr>
        <w:t>The Chair</w:t>
      </w:r>
      <w:r w:rsidRPr="00E42CC5">
        <w:t>, by necessity,</w:t>
      </w:r>
      <w:r>
        <w:t xml:space="preserve"> focuses primarily on administrative duties, so expectations for scholarship should be adjusted accordingly.  Thus, the Chair, like tenured faculty on Option A, is expected to have at least one conference presentation or the equivalent each year. </w:t>
      </w:r>
    </w:p>
    <w:p w14:paraId="36E86D11" w14:textId="77777777" w:rsidR="00386FB5" w:rsidRPr="00386FB5" w:rsidRDefault="00386FB5" w:rsidP="00CA4C6A">
      <w:pPr>
        <w:ind w:left="720"/>
        <w:rPr>
          <w:i/>
          <w:sz w:val="16"/>
          <w:szCs w:val="16"/>
        </w:rPr>
      </w:pPr>
    </w:p>
    <w:p w14:paraId="0DACEC96" w14:textId="77777777" w:rsidR="00CA4C6A" w:rsidRDefault="00CA4C6A" w:rsidP="00CA4C6A">
      <w:pPr>
        <w:ind w:left="720"/>
      </w:pPr>
      <w:r w:rsidRPr="006B6C6B">
        <w:rPr>
          <w:i/>
        </w:rPr>
        <w:t xml:space="preserve">Lecturers </w:t>
      </w:r>
      <w:r w:rsidRPr="008E6AF7">
        <w:t>and</w:t>
      </w:r>
      <w:r w:rsidRPr="006B6C6B">
        <w:rPr>
          <w:i/>
        </w:rPr>
        <w:t xml:space="preserve"> </w:t>
      </w:r>
      <w:r w:rsidR="00AB3187">
        <w:rPr>
          <w:i/>
        </w:rPr>
        <w:t>S</w:t>
      </w:r>
      <w:r w:rsidRPr="006B6C6B">
        <w:rPr>
          <w:i/>
        </w:rPr>
        <w:t xml:space="preserve">enior </w:t>
      </w:r>
      <w:r w:rsidR="00AB3187">
        <w:rPr>
          <w:i/>
        </w:rPr>
        <w:t>L</w:t>
      </w:r>
      <w:r w:rsidRPr="006B6C6B">
        <w:rPr>
          <w:i/>
        </w:rPr>
        <w:t xml:space="preserve">ecturers </w:t>
      </w:r>
      <w:r>
        <w:t>have no scholarship expectations or requirements beyond maintaining one’s professional development by staying current in the field.  The FRC and Chair will assume that all faculty read books and articles to stay current in the field, and thus, lecturers will receive a minimal rating of meeting merit expectations for this category.  Any scholarly activity, as indicated in the list of documentation above, could then be rewarded with a rating of exceeding merit expectations.</w:t>
      </w:r>
    </w:p>
    <w:p w14:paraId="3DFCEDF1" w14:textId="77777777" w:rsidR="00386FB5" w:rsidRPr="00386FB5" w:rsidRDefault="00386FB5" w:rsidP="00CA4C6A">
      <w:pPr>
        <w:ind w:left="720"/>
        <w:rPr>
          <w:i/>
          <w:sz w:val="16"/>
          <w:szCs w:val="16"/>
        </w:rPr>
      </w:pPr>
    </w:p>
    <w:p w14:paraId="2B40F9EA" w14:textId="77777777" w:rsidR="00CA4C6A" w:rsidRDefault="00CA4C6A" w:rsidP="00CA4C6A">
      <w:pPr>
        <w:ind w:left="720"/>
      </w:pPr>
      <w:r w:rsidRPr="006B6C6B">
        <w:rPr>
          <w:i/>
        </w:rPr>
        <w:lastRenderedPageBreak/>
        <w:t xml:space="preserve">Clinical </w:t>
      </w:r>
      <w:r w:rsidR="00FF45CD">
        <w:rPr>
          <w:i/>
        </w:rPr>
        <w:t>F</w:t>
      </w:r>
      <w:r w:rsidRPr="006B6C6B">
        <w:rPr>
          <w:i/>
        </w:rPr>
        <w:t>aculty</w:t>
      </w:r>
      <w:r w:rsidR="00183142" w:rsidRPr="00183142">
        <w:t xml:space="preserve">, per </w:t>
      </w:r>
      <w:r w:rsidR="009B1B49">
        <w:t>AA/</w:t>
      </w:r>
      <w:r w:rsidR="00183142" w:rsidRPr="00183142">
        <w:t xml:space="preserve">PPS </w:t>
      </w:r>
      <w:r w:rsidR="009B1B49">
        <w:t>04.01.22</w:t>
      </w:r>
      <w:r w:rsidR="00183142" w:rsidRPr="00183142">
        <w:t xml:space="preserve"> Clinical Faculty Appointments, </w:t>
      </w:r>
      <w:r>
        <w:t xml:space="preserve">should count professional activities as equivalent to scholarly activity.  Examples include </w:t>
      </w:r>
      <w:r w:rsidRPr="007D4991">
        <w:t>holding office in local, state, national, or international professional associations; membership in or appointment to local, state, national, or international committees, task forces, or work groups; and publications in professional journals</w:t>
      </w:r>
      <w:r>
        <w:t>, newsletters, and websites.</w:t>
      </w:r>
    </w:p>
    <w:p w14:paraId="76C044CB" w14:textId="77777777" w:rsidR="00CA4C6A" w:rsidRPr="00386FB5" w:rsidRDefault="00CA4C6A" w:rsidP="001B70E1">
      <w:pPr>
        <w:tabs>
          <w:tab w:val="left" w:pos="1160"/>
        </w:tabs>
        <w:ind w:left="720"/>
      </w:pPr>
    </w:p>
    <w:p w14:paraId="491C2831" w14:textId="77777777" w:rsidR="001B70E1" w:rsidRDefault="001B70E1" w:rsidP="001B70E1">
      <w:pPr>
        <w:tabs>
          <w:tab w:val="left" w:pos="1160"/>
        </w:tabs>
        <w:ind w:left="720"/>
      </w:pPr>
      <w:r w:rsidRPr="00DD45E1">
        <w:t xml:space="preserve">In an effort to be as objective and fair as possible, the FRC will use the rubric </w:t>
      </w:r>
      <w:r>
        <w:t xml:space="preserve">in Appendix </w:t>
      </w:r>
      <w:r w:rsidR="006F117D">
        <w:t>B</w:t>
      </w:r>
      <w:r w:rsidRPr="00DD45E1">
        <w:t xml:space="preserve"> </w:t>
      </w:r>
      <w:r>
        <w:t>for</w:t>
      </w:r>
      <w:r w:rsidRPr="00DD45E1">
        <w:t xml:space="preserve"> determining the merit points in </w:t>
      </w:r>
      <w:r w:rsidR="006F117D">
        <w:t>scholarly activity</w:t>
      </w:r>
      <w:r w:rsidRPr="00DD45E1">
        <w:t xml:space="preserve"> for each faculty member.</w:t>
      </w:r>
      <w:r w:rsidR="00485A28">
        <w:t xml:space="preserve"> Faculty members should submit the completed rubric along with their annual report.</w:t>
      </w:r>
    </w:p>
    <w:p w14:paraId="583EB0CC" w14:textId="77777777" w:rsidR="004D49D9" w:rsidRPr="006D7330" w:rsidRDefault="004D49D9" w:rsidP="001B70E1"/>
    <w:p w14:paraId="78116982" w14:textId="1029C6C3" w:rsidR="003F0541" w:rsidRPr="006D7330" w:rsidRDefault="003F0541" w:rsidP="003F0541">
      <w:pPr>
        <w:ind w:left="720" w:hanging="360"/>
      </w:pPr>
      <w:r w:rsidRPr="006D7330">
        <w:t>3.</w:t>
      </w:r>
      <w:r w:rsidRPr="006D7330">
        <w:tab/>
      </w:r>
      <w:r w:rsidRPr="006D7330">
        <w:rPr>
          <w:u w:val="single"/>
        </w:rPr>
        <w:t>Service</w:t>
      </w:r>
      <w:r w:rsidRPr="006D7330">
        <w:t xml:space="preserve">. Psychology faculty </w:t>
      </w:r>
      <w:r>
        <w:t xml:space="preserve">members </w:t>
      </w:r>
      <w:r w:rsidRPr="006D7330">
        <w:t xml:space="preserve">are expected to demonstrate behaviors that serve the </w:t>
      </w:r>
      <w:r w:rsidR="00DB614B">
        <w:t>D</w:t>
      </w:r>
      <w:r w:rsidRPr="006D7330">
        <w:t>epartment</w:t>
      </w:r>
      <w:r w:rsidR="00C81233">
        <w:t>’</w:t>
      </w:r>
      <w:r w:rsidRPr="006D7330">
        <w:t>s positive image and are congenial in nature.</w:t>
      </w:r>
      <w:r w:rsidR="00D60142">
        <w:t xml:space="preserve">  </w:t>
      </w:r>
      <w:r w:rsidR="00A3248B">
        <w:t xml:space="preserve">When </w:t>
      </w:r>
      <w:r w:rsidR="00485A28">
        <w:t xml:space="preserve">documenting </w:t>
      </w:r>
      <w:r w:rsidR="00A3248B">
        <w:t xml:space="preserve">a service activity, the faculty member should </w:t>
      </w:r>
      <w:r w:rsidR="0023065E">
        <w:t xml:space="preserve">include a brief description of the duties performed for that activity and </w:t>
      </w:r>
      <w:r w:rsidR="00A3248B">
        <w:t>the hours spent</w:t>
      </w:r>
      <w:r w:rsidR="00884542">
        <w:t xml:space="preserve"> </w:t>
      </w:r>
      <w:r w:rsidR="00286BEC">
        <w:t>during the previous calendar year</w:t>
      </w:r>
      <w:r w:rsidR="00A3248B">
        <w:t xml:space="preserve"> in the “</w:t>
      </w:r>
      <w:r w:rsidR="0023065E">
        <w:t>Comments</w:t>
      </w:r>
      <w:r w:rsidR="00A3248B">
        <w:t>”</w:t>
      </w:r>
      <w:r w:rsidR="00286BEC">
        <w:t xml:space="preserve"> box.</w:t>
      </w:r>
      <w:r w:rsidR="00A3248B">
        <w:t xml:space="preserve"> </w:t>
      </w:r>
      <w:r w:rsidR="00D60142">
        <w:t xml:space="preserve"> </w:t>
      </w:r>
      <w:r w:rsidR="00A85722">
        <w:t>If the time commitment is not specified</w:t>
      </w:r>
      <w:r w:rsidR="00D60142">
        <w:t xml:space="preserve">, the FRC and Chair will assume that </w:t>
      </w:r>
      <w:r w:rsidR="00A85722">
        <w:t>the</w:t>
      </w:r>
      <w:r w:rsidR="00D60142">
        <w:t xml:space="preserve"> service activity is a minor one</w:t>
      </w:r>
      <w:r w:rsidR="00286BEC">
        <w:t xml:space="preserve"> that involved </w:t>
      </w:r>
      <w:r w:rsidR="00586FDE">
        <w:t>only 1 hour</w:t>
      </w:r>
      <w:r w:rsidR="00D60142">
        <w:t>.</w:t>
      </w:r>
      <w:r w:rsidR="00A85722">
        <w:t xml:space="preserve"> </w:t>
      </w:r>
      <w:r w:rsidR="009A2A0C" w:rsidRPr="009A2A0C">
        <w:t xml:space="preserve">Up to 5 service hours tied to diversity </w:t>
      </w:r>
      <w:r w:rsidR="004F3280" w:rsidRPr="0083675C">
        <w:t>(based on race, color, national origin, age, sex, religion, disability, veterans’ status, sexual orientation, gender identity, and gender expression)</w:t>
      </w:r>
      <w:r w:rsidR="004F3280">
        <w:t xml:space="preserve"> may</w:t>
      </w:r>
      <w:r w:rsidR="009A2A0C" w:rsidRPr="009A2A0C">
        <w:t xml:space="preserve"> count double for a maximum of 10 service hours in the “Service” category.  </w:t>
      </w:r>
      <w:r w:rsidRPr="006D7330">
        <w:t>Documentation of service effectiveness should include the following:</w:t>
      </w:r>
    </w:p>
    <w:p w14:paraId="4F09938A" w14:textId="77777777" w:rsidR="00D60142" w:rsidRDefault="00D60142" w:rsidP="003F0541">
      <w:pPr>
        <w:ind w:left="1160" w:hanging="440"/>
      </w:pPr>
    </w:p>
    <w:p w14:paraId="3D6E03F4" w14:textId="77777777" w:rsidR="003F0541" w:rsidRPr="006D7330" w:rsidRDefault="003F0541" w:rsidP="003F0541">
      <w:pPr>
        <w:ind w:left="1160" w:hanging="440"/>
      </w:pPr>
      <w:r w:rsidRPr="006D7330">
        <w:t>A.</w:t>
      </w:r>
      <w:r w:rsidRPr="006D7330">
        <w:tab/>
        <w:t xml:space="preserve">Service activities within the </w:t>
      </w:r>
      <w:r w:rsidR="006871D4">
        <w:t>D</w:t>
      </w:r>
      <w:r w:rsidRPr="006D7330">
        <w:t xml:space="preserve">epartment, </w:t>
      </w:r>
      <w:r w:rsidR="006871D4">
        <w:t>C</w:t>
      </w:r>
      <w:r w:rsidRPr="006D7330">
        <w:t>ollege</w:t>
      </w:r>
      <w:r w:rsidR="006871D4">
        <w:t>,</w:t>
      </w:r>
      <w:r w:rsidRPr="006D7330">
        <w:t xml:space="preserve"> or </w:t>
      </w:r>
      <w:r w:rsidR="006871D4">
        <w:t>U</w:t>
      </w:r>
      <w:r w:rsidRPr="006D7330">
        <w:t>niversity.</w:t>
      </w:r>
      <w:r w:rsidR="00A85722">
        <w:t xml:space="preserve">  The Chair will send a service request to all faculty with specific departmental service activities (e.g., committee assignments, sponsorship of student organizations) that are available for the upcoming academic year.  Additional activities include, but are not limited to, giving </w:t>
      </w:r>
      <w:r w:rsidR="00AB1362">
        <w:t>a local presentation</w:t>
      </w:r>
      <w:r w:rsidR="00A85722">
        <w:t>, such as a guest lecture given to a student organization on campus.  Also note that being a departmental citizen, by attending faculty meetings and other events on campus that are separate from a faculty member’s committee responsibilities (e.g., attending brown-bag lectures, attending lectures by guest speakers</w:t>
      </w:r>
      <w:r w:rsidR="00271875">
        <w:t>, attending graduation ceremonies</w:t>
      </w:r>
      <w:r w:rsidR="00A85722">
        <w:t>), will be considered a service activity.</w:t>
      </w:r>
      <w:r w:rsidR="009B62F7">
        <w:t xml:space="preserve"> Writing letters of recommendation for students will not be considered a service activity for the purposes of earning merit points.</w:t>
      </w:r>
      <w:r w:rsidRPr="006D7330">
        <w:t xml:space="preserve">  </w:t>
      </w:r>
    </w:p>
    <w:p w14:paraId="409A73EB" w14:textId="77777777" w:rsidR="00A85722" w:rsidRDefault="00A85722" w:rsidP="003F0541">
      <w:pPr>
        <w:ind w:left="1160" w:hanging="440"/>
      </w:pPr>
    </w:p>
    <w:p w14:paraId="005DD4C5" w14:textId="77777777" w:rsidR="003F0541" w:rsidRPr="006D7330" w:rsidRDefault="003F0541" w:rsidP="003F0541">
      <w:pPr>
        <w:ind w:left="1160" w:hanging="440"/>
      </w:pPr>
      <w:r w:rsidRPr="006D7330">
        <w:t>B</w:t>
      </w:r>
      <w:r>
        <w:t>.</w:t>
      </w:r>
      <w:r w:rsidRPr="006D7330">
        <w:tab/>
        <w:t>Service activities to academic or professional organizations such as editorial or reviewing responsibilities</w:t>
      </w:r>
      <w:r w:rsidR="002603E6">
        <w:t xml:space="preserve"> (specifying the number of manuscript and/or textbook reviews completed during the previous year)</w:t>
      </w:r>
      <w:r w:rsidRPr="006D7330">
        <w:t>, leadership responsibilities</w:t>
      </w:r>
      <w:r w:rsidR="006871D4">
        <w:t>,</w:t>
      </w:r>
      <w:r w:rsidRPr="006D7330">
        <w:t xml:space="preserve"> </w:t>
      </w:r>
      <w:r>
        <w:t xml:space="preserve">or committee responsibilities. </w:t>
      </w:r>
    </w:p>
    <w:p w14:paraId="2AB8273D" w14:textId="77777777" w:rsidR="003F0541" w:rsidRPr="006D7330" w:rsidRDefault="003F0541" w:rsidP="003F0541">
      <w:pPr>
        <w:ind w:left="1160" w:hanging="440"/>
      </w:pPr>
    </w:p>
    <w:p w14:paraId="75C6264D" w14:textId="77777777" w:rsidR="003F0541" w:rsidRPr="006D7330" w:rsidRDefault="003F0541" w:rsidP="003F0541">
      <w:pPr>
        <w:ind w:left="1160" w:hanging="440"/>
      </w:pPr>
      <w:r w:rsidRPr="006D7330">
        <w:t>C.</w:t>
      </w:r>
      <w:r w:rsidRPr="006D7330">
        <w:tab/>
        <w:t>Community service activitie</w:t>
      </w:r>
      <w:r w:rsidR="000713F6">
        <w:t xml:space="preserve">s </w:t>
      </w:r>
      <w:r w:rsidR="00FA6E19">
        <w:t xml:space="preserve">that are </w:t>
      </w:r>
      <w:r w:rsidR="000713F6">
        <w:t>related to the faculty member’</w:t>
      </w:r>
      <w:r w:rsidRPr="006D7330">
        <w:t>s expertise</w:t>
      </w:r>
      <w:r w:rsidR="00FA6E19">
        <w:t xml:space="preserve"> or that positively promote the Department, College, or University (e.g., participating with the Department in the Walk to End Alzheimer’s)</w:t>
      </w:r>
      <w:r w:rsidRPr="006D7330">
        <w:t>.</w:t>
      </w:r>
    </w:p>
    <w:p w14:paraId="4DB849B7" w14:textId="77777777" w:rsidR="00FA6E19" w:rsidRDefault="00FA6E19" w:rsidP="003F0541">
      <w:pPr>
        <w:ind w:left="1160" w:hanging="440"/>
      </w:pPr>
    </w:p>
    <w:p w14:paraId="31F0C121" w14:textId="77777777" w:rsidR="003F0541" w:rsidRPr="006D7330" w:rsidRDefault="003F0541" w:rsidP="003F0541">
      <w:pPr>
        <w:ind w:left="1160" w:hanging="440"/>
      </w:pPr>
      <w:r w:rsidRPr="006D7330">
        <w:t>D.</w:t>
      </w:r>
      <w:r w:rsidRPr="006D7330">
        <w:tab/>
      </w:r>
      <w:r w:rsidR="000F7F60" w:rsidRPr="006D7330">
        <w:t>Honors or recognition received for</w:t>
      </w:r>
      <w:r w:rsidR="000F7F60">
        <w:t xml:space="preserve"> service</w:t>
      </w:r>
      <w:r w:rsidR="000F7F60" w:rsidRPr="006D7330">
        <w:t>.</w:t>
      </w:r>
    </w:p>
    <w:p w14:paraId="7C2DEC0C" w14:textId="77777777" w:rsidR="000F7F60" w:rsidRDefault="000F7F60" w:rsidP="003F0541">
      <w:pPr>
        <w:ind w:left="1160" w:hanging="440"/>
      </w:pPr>
    </w:p>
    <w:p w14:paraId="08C57921" w14:textId="77777777" w:rsidR="003F0541" w:rsidRPr="00A1137B" w:rsidRDefault="003F0541" w:rsidP="00386FB5">
      <w:pPr>
        <w:ind w:left="1160" w:right="-180" w:hanging="440"/>
      </w:pPr>
      <w:r w:rsidRPr="006D7330">
        <w:t>E.</w:t>
      </w:r>
      <w:r w:rsidRPr="006D7330">
        <w:tab/>
        <w:t>Other documentation the faculty member wishes to submit.</w:t>
      </w:r>
      <w:r w:rsidR="00A1137B">
        <w:rPr>
          <w:color w:val="000000"/>
        </w:rPr>
        <w:t xml:space="preserve">  This </w:t>
      </w:r>
      <w:r w:rsidR="00977622">
        <w:rPr>
          <w:color w:val="000000"/>
        </w:rPr>
        <w:t>other</w:t>
      </w:r>
      <w:r w:rsidR="00A1137B">
        <w:rPr>
          <w:color w:val="000000"/>
        </w:rPr>
        <w:t xml:space="preserve"> documentation and justification of additional merit </w:t>
      </w:r>
      <w:r w:rsidR="00FA6408">
        <w:rPr>
          <w:color w:val="000000"/>
        </w:rPr>
        <w:t>should</w:t>
      </w:r>
      <w:r w:rsidR="00A1137B">
        <w:rPr>
          <w:color w:val="000000"/>
        </w:rPr>
        <w:t xml:space="preserve"> be described by the faculty member in the comment boxes and/or uploaded documents.</w:t>
      </w:r>
    </w:p>
    <w:p w14:paraId="1AC4A8B4" w14:textId="77777777" w:rsidR="002F71F4" w:rsidRDefault="002F71F4" w:rsidP="002F71F4">
      <w:pPr>
        <w:ind w:left="720"/>
      </w:pPr>
    </w:p>
    <w:p w14:paraId="0588C056" w14:textId="77777777" w:rsidR="002F71F4" w:rsidRDefault="002F71F4" w:rsidP="002F71F4">
      <w:pPr>
        <w:ind w:left="720"/>
      </w:pPr>
      <w:r>
        <w:t xml:space="preserve">Per </w:t>
      </w:r>
      <w:r w:rsidR="009B1B49">
        <w:t>AA/</w:t>
      </w:r>
      <w:r>
        <w:t xml:space="preserve">PPS </w:t>
      </w:r>
      <w:r w:rsidR="009B1B49">
        <w:t>04.01.20</w:t>
      </w:r>
      <w:r>
        <w:t xml:space="preserve"> and the Department of Psychology’s Faculty Workload and Performance Evaluation Policy, service expectations differ by faculty rank, which should be considered in assigning merit ratings for this category.</w:t>
      </w:r>
      <w:r w:rsidR="00A948AD">
        <w:t xml:space="preserve"> Changes in status during the year (e.g., change in rank, leaves of absence, employment for less than the full year, etc.) will be considered by the FRC.</w:t>
      </w:r>
    </w:p>
    <w:p w14:paraId="6A474688" w14:textId="77777777" w:rsidR="00386FB5" w:rsidRPr="00386FB5" w:rsidRDefault="00386FB5" w:rsidP="002F71F4">
      <w:pPr>
        <w:ind w:left="720"/>
        <w:rPr>
          <w:sz w:val="16"/>
          <w:szCs w:val="16"/>
        </w:rPr>
      </w:pPr>
    </w:p>
    <w:p w14:paraId="4B69BE73" w14:textId="77777777" w:rsidR="002F71F4" w:rsidRDefault="002F71F4" w:rsidP="002F71F4">
      <w:pPr>
        <w:ind w:left="720"/>
      </w:pPr>
      <w:r w:rsidRPr="006B6C6B">
        <w:rPr>
          <w:i/>
        </w:rPr>
        <w:t>Tenured faculty</w:t>
      </w:r>
      <w:r w:rsidR="005A4986" w:rsidRPr="005A4986">
        <w:t xml:space="preserve"> </w:t>
      </w:r>
      <w:r w:rsidR="005A4986">
        <w:t>typically complete at least 50 hours of service activity per year</w:t>
      </w:r>
      <w:r>
        <w:t>.</w:t>
      </w:r>
    </w:p>
    <w:p w14:paraId="32BC22F6" w14:textId="77777777" w:rsidR="00386FB5" w:rsidRPr="00386FB5" w:rsidRDefault="00386FB5" w:rsidP="002F71F4">
      <w:pPr>
        <w:ind w:left="720"/>
        <w:rPr>
          <w:sz w:val="16"/>
          <w:szCs w:val="16"/>
        </w:rPr>
      </w:pPr>
    </w:p>
    <w:p w14:paraId="76960165" w14:textId="77777777" w:rsidR="002F71F4" w:rsidRDefault="005A4986" w:rsidP="002F71F4">
      <w:pPr>
        <w:ind w:left="720"/>
      </w:pPr>
      <w:r w:rsidRPr="006B6C6B">
        <w:rPr>
          <w:i/>
        </w:rPr>
        <w:t xml:space="preserve">Tenure-track faculty </w:t>
      </w:r>
      <w:r w:rsidR="002F71F4">
        <w:t>typically complete at least</w:t>
      </w:r>
      <w:r>
        <w:t xml:space="preserve"> 25 hours of service activity per year</w:t>
      </w:r>
      <w:r w:rsidR="002F71F4">
        <w:t>.</w:t>
      </w:r>
    </w:p>
    <w:p w14:paraId="73C06B36" w14:textId="77777777" w:rsidR="00386FB5" w:rsidRPr="00386FB5" w:rsidRDefault="00386FB5" w:rsidP="002F71F4">
      <w:pPr>
        <w:ind w:left="720"/>
        <w:rPr>
          <w:sz w:val="16"/>
          <w:szCs w:val="16"/>
        </w:rPr>
      </w:pPr>
    </w:p>
    <w:p w14:paraId="37DDE9A2" w14:textId="4227B267" w:rsidR="00FF45CD" w:rsidRDefault="00FF45CD" w:rsidP="00FF45CD">
      <w:pPr>
        <w:ind w:left="720"/>
      </w:pPr>
      <w:r>
        <w:rPr>
          <w:i/>
        </w:rPr>
        <w:t>S</w:t>
      </w:r>
      <w:r w:rsidRPr="006B6C6B">
        <w:rPr>
          <w:i/>
        </w:rPr>
        <w:t xml:space="preserve">enior </w:t>
      </w:r>
      <w:r>
        <w:rPr>
          <w:i/>
        </w:rPr>
        <w:t>L</w:t>
      </w:r>
      <w:r w:rsidRPr="006B6C6B">
        <w:rPr>
          <w:i/>
        </w:rPr>
        <w:t>ecturers</w:t>
      </w:r>
      <w:r>
        <w:t xml:space="preserve"> typically complete at least </w:t>
      </w:r>
      <w:r w:rsidR="002F5B63">
        <w:t>11</w:t>
      </w:r>
      <w:r>
        <w:t xml:space="preserve"> hours of service activity per year.</w:t>
      </w:r>
    </w:p>
    <w:p w14:paraId="5758BECC" w14:textId="77777777" w:rsidR="00FF45CD" w:rsidRPr="00386FB5" w:rsidRDefault="00FF45CD" w:rsidP="00FF45CD">
      <w:pPr>
        <w:ind w:left="720"/>
        <w:rPr>
          <w:sz w:val="16"/>
          <w:szCs w:val="16"/>
        </w:rPr>
      </w:pPr>
    </w:p>
    <w:p w14:paraId="029C74E0" w14:textId="77777777" w:rsidR="002F71F4" w:rsidRDefault="005A4986" w:rsidP="002F71F4">
      <w:pPr>
        <w:ind w:left="720"/>
      </w:pPr>
      <w:r>
        <w:rPr>
          <w:i/>
        </w:rPr>
        <w:t>L</w:t>
      </w:r>
      <w:r w:rsidR="002F71F4" w:rsidRPr="006B6C6B">
        <w:rPr>
          <w:i/>
        </w:rPr>
        <w:t xml:space="preserve">ecturers </w:t>
      </w:r>
      <w:r w:rsidR="002F71F4">
        <w:t xml:space="preserve">(full-time but on only a 1-year contract) have minimal service requirements that may be met by completing at least </w:t>
      </w:r>
      <w:r>
        <w:t xml:space="preserve">10 hours of service activity </w:t>
      </w:r>
      <w:r w:rsidR="002F71F4">
        <w:t>per</w:t>
      </w:r>
      <w:r>
        <w:t xml:space="preserve"> year, which could be met by simply attending 10 faculty meetings that year</w:t>
      </w:r>
      <w:r w:rsidR="002F71F4">
        <w:t>.</w:t>
      </w:r>
    </w:p>
    <w:p w14:paraId="473C63E8" w14:textId="77777777" w:rsidR="00386FB5" w:rsidRPr="00386FB5" w:rsidRDefault="00386FB5" w:rsidP="002F71F4">
      <w:pPr>
        <w:ind w:left="720"/>
        <w:rPr>
          <w:sz w:val="16"/>
          <w:szCs w:val="16"/>
        </w:rPr>
      </w:pPr>
    </w:p>
    <w:p w14:paraId="72D18D67" w14:textId="77777777" w:rsidR="002F71F4" w:rsidRDefault="002F71F4" w:rsidP="002F71F4">
      <w:pPr>
        <w:ind w:left="720"/>
      </w:pPr>
      <w:r w:rsidRPr="006B6C6B">
        <w:rPr>
          <w:i/>
        </w:rPr>
        <w:t xml:space="preserve">Clinical </w:t>
      </w:r>
      <w:r w:rsidR="00FF45CD">
        <w:rPr>
          <w:i/>
        </w:rPr>
        <w:t>F</w:t>
      </w:r>
      <w:r w:rsidRPr="006B6C6B">
        <w:rPr>
          <w:i/>
        </w:rPr>
        <w:t>aculty</w:t>
      </w:r>
      <w:r w:rsidR="00666200" w:rsidRPr="00183142">
        <w:t xml:space="preserve">, per </w:t>
      </w:r>
      <w:r w:rsidR="009B1B49">
        <w:t>AA/</w:t>
      </w:r>
      <w:r w:rsidR="00666200" w:rsidRPr="00183142">
        <w:t xml:space="preserve">PPS </w:t>
      </w:r>
      <w:r w:rsidR="009B1B49">
        <w:t>04.01.22</w:t>
      </w:r>
      <w:r w:rsidR="00666200" w:rsidRPr="00183142">
        <w:t xml:space="preserve"> Clinical Faculty Appointments,</w:t>
      </w:r>
      <w:r w:rsidRPr="006B6C6B">
        <w:rPr>
          <w:i/>
        </w:rPr>
        <w:t xml:space="preserve"> </w:t>
      </w:r>
      <w:r>
        <w:t>should count practice relevant activities (performance in clinical/practice setting) equivalent to service activity</w:t>
      </w:r>
      <w:r w:rsidR="00666200">
        <w:t>.</w:t>
      </w:r>
    </w:p>
    <w:p w14:paraId="6C2A9C41" w14:textId="77777777" w:rsidR="00FF45CD" w:rsidRDefault="00FF45CD" w:rsidP="00616E02">
      <w:pPr>
        <w:tabs>
          <w:tab w:val="left" w:pos="1160"/>
        </w:tabs>
        <w:ind w:left="720"/>
      </w:pPr>
    </w:p>
    <w:p w14:paraId="39B962EC" w14:textId="77777777" w:rsidR="00616E02" w:rsidRDefault="00616E02" w:rsidP="00616E02">
      <w:pPr>
        <w:tabs>
          <w:tab w:val="left" w:pos="1160"/>
        </w:tabs>
        <w:ind w:left="720"/>
      </w:pPr>
      <w:r w:rsidRPr="00DD45E1">
        <w:t xml:space="preserve">In an effort to be as objective and fair as possible, the FRC will use the rubric </w:t>
      </w:r>
      <w:r>
        <w:t xml:space="preserve">in Appendix </w:t>
      </w:r>
      <w:r w:rsidR="006F117D">
        <w:t>C</w:t>
      </w:r>
      <w:r w:rsidRPr="00DD45E1">
        <w:t xml:space="preserve"> </w:t>
      </w:r>
      <w:r>
        <w:t>for</w:t>
      </w:r>
      <w:r w:rsidRPr="00DD45E1">
        <w:t xml:space="preserve"> determining the merit points in </w:t>
      </w:r>
      <w:r w:rsidR="006F117D">
        <w:t>service</w:t>
      </w:r>
      <w:r w:rsidRPr="00DD45E1">
        <w:t xml:space="preserve"> for each faculty member.</w:t>
      </w:r>
      <w:r w:rsidR="0023065E">
        <w:t xml:space="preserve"> Faculty members should submit the completed rubric along with their annual report.</w:t>
      </w:r>
    </w:p>
    <w:p w14:paraId="1814D493" w14:textId="77777777" w:rsidR="003C1DED" w:rsidRPr="006D7330" w:rsidRDefault="003C1DED" w:rsidP="003F0541">
      <w:pPr>
        <w:pStyle w:val="Footer"/>
        <w:tabs>
          <w:tab w:val="left" w:pos="720"/>
        </w:tabs>
        <w:rPr>
          <w:rFonts w:ascii="Times New Roman" w:hAnsi="Times New Roman"/>
          <w:szCs w:val="24"/>
        </w:rPr>
      </w:pPr>
    </w:p>
    <w:p w14:paraId="722BC0E6" w14:textId="77777777" w:rsidR="001A54E1" w:rsidRDefault="001A54E1" w:rsidP="003F0541">
      <w:pPr>
        <w:pStyle w:val="Heading5"/>
        <w:rPr>
          <w:rFonts w:ascii="Times New Roman" w:hAnsi="Times New Roman"/>
          <w:sz w:val="24"/>
          <w:szCs w:val="24"/>
        </w:rPr>
      </w:pPr>
      <w:r>
        <w:rPr>
          <w:rFonts w:ascii="Times New Roman" w:hAnsi="Times New Roman"/>
          <w:sz w:val="24"/>
          <w:szCs w:val="24"/>
        </w:rPr>
        <w:t>Evaluation Period</w:t>
      </w:r>
    </w:p>
    <w:p w14:paraId="13942BEC" w14:textId="77777777" w:rsidR="001A54E1" w:rsidRDefault="001A54E1" w:rsidP="001A54E1">
      <w:pPr>
        <w:tabs>
          <w:tab w:val="left" w:pos="270"/>
        </w:tabs>
        <w:ind w:right="-533"/>
      </w:pPr>
    </w:p>
    <w:p w14:paraId="3665B3A8" w14:textId="77777777" w:rsidR="001A54E1" w:rsidRPr="001A54E1" w:rsidRDefault="009B1B49" w:rsidP="00DA52F7">
      <w:pPr>
        <w:tabs>
          <w:tab w:val="left" w:pos="270"/>
        </w:tabs>
        <w:ind w:right="-533"/>
      </w:pPr>
      <w:r>
        <w:t>AA/</w:t>
      </w:r>
      <w:r w:rsidR="001A54E1" w:rsidRPr="001A54E1">
        <w:t xml:space="preserve">PPS. </w:t>
      </w:r>
      <w:r>
        <w:t>04.01.50</w:t>
      </w:r>
      <w:r w:rsidR="001A54E1" w:rsidRPr="001A54E1">
        <w:t xml:space="preserve">, Paragraph 9, specified that “faculty will be evaluated for merit purposes on the basis of accomplishments at Texas State during the identified evaluation period.” </w:t>
      </w:r>
      <w:r w:rsidR="00DA52F7">
        <w:t xml:space="preserve"> </w:t>
      </w:r>
      <w:r w:rsidR="001A54E1" w:rsidRPr="001A54E1">
        <w:t>In most recent years</w:t>
      </w:r>
      <w:r w:rsidR="00DA52F7">
        <w:t>,</w:t>
      </w:r>
      <w:r w:rsidR="001A54E1" w:rsidRPr="001A54E1">
        <w:t xml:space="preserve"> that period has been three years. </w:t>
      </w:r>
      <w:r w:rsidR="00DA52F7">
        <w:t xml:space="preserve"> </w:t>
      </w:r>
      <w:r w:rsidR="001A54E1" w:rsidRPr="001A54E1">
        <w:t xml:space="preserve">Merit funds will be divided based on performance over the specified period.   Each of the years in the identified period will be weighted equally. </w:t>
      </w:r>
    </w:p>
    <w:p w14:paraId="76AA1356" w14:textId="77777777" w:rsidR="001A54E1" w:rsidRDefault="001A54E1" w:rsidP="003F0541">
      <w:pPr>
        <w:pStyle w:val="Heading5"/>
        <w:rPr>
          <w:rFonts w:ascii="Times New Roman" w:hAnsi="Times New Roman"/>
          <w:sz w:val="24"/>
          <w:szCs w:val="24"/>
        </w:rPr>
      </w:pPr>
    </w:p>
    <w:p w14:paraId="75B4CC3D" w14:textId="77777777" w:rsidR="003F0541" w:rsidRPr="006D7330" w:rsidRDefault="003F0541" w:rsidP="003F0541">
      <w:pPr>
        <w:pStyle w:val="Heading5"/>
        <w:rPr>
          <w:rFonts w:ascii="Times New Roman" w:hAnsi="Times New Roman"/>
          <w:sz w:val="24"/>
          <w:szCs w:val="24"/>
        </w:rPr>
      </w:pPr>
      <w:r w:rsidRPr="006D7330">
        <w:rPr>
          <w:rFonts w:ascii="Times New Roman" w:hAnsi="Times New Roman"/>
          <w:sz w:val="24"/>
          <w:szCs w:val="24"/>
        </w:rPr>
        <w:t>Recommended Timeline</w:t>
      </w:r>
    </w:p>
    <w:p w14:paraId="340C460F" w14:textId="77777777" w:rsidR="003F0541" w:rsidRPr="006D7330" w:rsidRDefault="003F0541" w:rsidP="003F0541"/>
    <w:p w14:paraId="55E877B4" w14:textId="77777777" w:rsidR="003F0541" w:rsidRPr="006D7330" w:rsidRDefault="003F0541" w:rsidP="00386FB5">
      <w:pPr>
        <w:tabs>
          <w:tab w:val="left" w:pos="720"/>
          <w:tab w:val="left" w:pos="7380"/>
        </w:tabs>
        <w:ind w:left="720" w:hanging="360"/>
      </w:pPr>
      <w:r w:rsidRPr="006D7330">
        <w:t>1.</w:t>
      </w:r>
      <w:r w:rsidRPr="006D7330">
        <w:tab/>
        <w:t>Chair notifies faculty of the annual evaluation</w:t>
      </w:r>
      <w:r w:rsidR="000F2DFD">
        <w:t xml:space="preserve"> process</w:t>
      </w:r>
      <w:r>
        <w:tab/>
      </w:r>
      <w:r w:rsidRPr="006D7330">
        <w:t>1 December</w:t>
      </w:r>
      <w:r>
        <w:tab/>
      </w:r>
      <w:r w:rsidRPr="006D7330">
        <w:t xml:space="preserve"> </w:t>
      </w:r>
    </w:p>
    <w:p w14:paraId="52450E74" w14:textId="77777777" w:rsidR="003F0541" w:rsidRPr="006D7330" w:rsidRDefault="003F0541" w:rsidP="00386FB5">
      <w:pPr>
        <w:tabs>
          <w:tab w:val="left" w:pos="720"/>
          <w:tab w:val="left" w:pos="7380"/>
        </w:tabs>
        <w:ind w:left="720" w:right="2520"/>
      </w:pPr>
      <w:r w:rsidRPr="006D7330">
        <w:t xml:space="preserve">and reminds them that their Annual </w:t>
      </w:r>
      <w:r w:rsidR="000F2DFD">
        <w:t xml:space="preserve">Review </w:t>
      </w:r>
      <w:r>
        <w:t xml:space="preserve">Report </w:t>
      </w:r>
      <w:r w:rsidR="000F2DFD">
        <w:t xml:space="preserve">is </w:t>
      </w:r>
      <w:r>
        <w:t>due February 1.</w:t>
      </w:r>
      <w:r w:rsidRPr="006D7330">
        <w:t xml:space="preserve"> </w:t>
      </w:r>
      <w:r>
        <w:t xml:space="preserve">    </w:t>
      </w:r>
    </w:p>
    <w:p w14:paraId="3E485EB8" w14:textId="77777777" w:rsidR="003F0541" w:rsidRPr="006D7330" w:rsidRDefault="003F0541" w:rsidP="00386FB5">
      <w:pPr>
        <w:tabs>
          <w:tab w:val="left" w:pos="7380"/>
        </w:tabs>
        <w:ind w:left="720" w:hanging="360"/>
      </w:pPr>
    </w:p>
    <w:p w14:paraId="796685DE" w14:textId="77777777" w:rsidR="003F0541" w:rsidRPr="006D7330" w:rsidRDefault="003F0541" w:rsidP="00386FB5">
      <w:pPr>
        <w:tabs>
          <w:tab w:val="left" w:pos="7380"/>
        </w:tabs>
        <w:ind w:left="720" w:hanging="360"/>
      </w:pPr>
      <w:r w:rsidRPr="006D7330">
        <w:t xml:space="preserve">2. </w:t>
      </w:r>
      <w:r w:rsidRPr="006D7330">
        <w:tab/>
        <w:t>Faculty member submits his</w:t>
      </w:r>
      <w:r>
        <w:t xml:space="preserve"> or </w:t>
      </w:r>
      <w:r w:rsidRPr="006D7330">
        <w:t xml:space="preserve">her Annual </w:t>
      </w:r>
      <w:r w:rsidR="000F2DFD">
        <w:t>Review</w:t>
      </w:r>
      <w:r>
        <w:tab/>
        <w:t>1 February</w:t>
      </w:r>
    </w:p>
    <w:p w14:paraId="6D2A8B5C" w14:textId="77777777" w:rsidR="003F0541" w:rsidRDefault="003F0541" w:rsidP="00386FB5">
      <w:pPr>
        <w:tabs>
          <w:tab w:val="left" w:pos="7380"/>
        </w:tabs>
        <w:ind w:left="720" w:right="2520"/>
      </w:pPr>
      <w:r>
        <w:t>Report</w:t>
      </w:r>
      <w:r w:rsidR="000F2DFD">
        <w:t>, along with copies of the previous year’s publications and any other supporting materials</w:t>
      </w:r>
      <w:r>
        <w:t>.</w:t>
      </w:r>
      <w:r w:rsidRPr="006D7330">
        <w:tab/>
      </w:r>
    </w:p>
    <w:p w14:paraId="1431300D" w14:textId="77777777" w:rsidR="000F2DFD" w:rsidRDefault="000F2DFD" w:rsidP="00386FB5">
      <w:pPr>
        <w:tabs>
          <w:tab w:val="left" w:pos="720"/>
          <w:tab w:val="left" w:pos="7380"/>
        </w:tabs>
        <w:ind w:left="720" w:hanging="360"/>
      </w:pPr>
    </w:p>
    <w:p w14:paraId="3E0D1E4B" w14:textId="77777777" w:rsidR="003F0541" w:rsidRPr="006D7330" w:rsidRDefault="0013527A" w:rsidP="00386FB5">
      <w:pPr>
        <w:tabs>
          <w:tab w:val="left" w:pos="720"/>
          <w:tab w:val="left" w:pos="7380"/>
        </w:tabs>
        <w:ind w:left="720" w:hanging="360"/>
      </w:pPr>
      <w:r>
        <w:t>3</w:t>
      </w:r>
      <w:r w:rsidR="003F0541" w:rsidRPr="006D7330">
        <w:t>.</w:t>
      </w:r>
      <w:r w:rsidR="003F0541" w:rsidRPr="006D7330">
        <w:tab/>
      </w:r>
      <w:r w:rsidR="003F0541">
        <w:t>FRC</w:t>
      </w:r>
      <w:r w:rsidR="003F0541" w:rsidRPr="006D7330">
        <w:t xml:space="preserve"> submits performance</w:t>
      </w:r>
      <w:r w:rsidR="00BF05DE">
        <w:t xml:space="preserve"> evaluations of faculty to Chair.</w:t>
      </w:r>
      <w:r w:rsidR="003F0541">
        <w:tab/>
      </w:r>
      <w:r w:rsidR="003F0541" w:rsidRPr="006D7330">
        <w:t>15 February</w:t>
      </w:r>
      <w:r w:rsidR="003F0541">
        <w:tab/>
      </w:r>
    </w:p>
    <w:p w14:paraId="184FE63C" w14:textId="77777777" w:rsidR="003F0541" w:rsidRPr="006D7330" w:rsidRDefault="003F0541" w:rsidP="00386FB5">
      <w:pPr>
        <w:tabs>
          <w:tab w:val="left" w:pos="720"/>
          <w:tab w:val="left" w:pos="7380"/>
        </w:tabs>
        <w:ind w:left="720" w:right="2520" w:hanging="360"/>
      </w:pPr>
      <w:r w:rsidRPr="006D7330">
        <w:tab/>
        <w:t>These evaluations are in the form of recommendations in the areas of teaching,</w:t>
      </w:r>
      <w:r w:rsidR="00BF05DE">
        <w:t xml:space="preserve"> </w:t>
      </w:r>
      <w:r w:rsidRPr="006D7330">
        <w:t>scholarship</w:t>
      </w:r>
      <w:r w:rsidR="002F2098">
        <w:t>,</w:t>
      </w:r>
      <w:r w:rsidRPr="006D7330">
        <w:t xml:space="preserve"> and service.  The form rates each faculty member</w:t>
      </w:r>
      <w:r w:rsidR="00BF05DE">
        <w:t xml:space="preserve"> </w:t>
      </w:r>
      <w:r>
        <w:t>as</w:t>
      </w:r>
      <w:r w:rsidR="00FF45CD">
        <w:t xml:space="preserve"> significantly exceeding,</w:t>
      </w:r>
      <w:r>
        <w:t xml:space="preserve"> exceeding, meeting, or not meeting</w:t>
      </w:r>
      <w:r w:rsidRPr="006D7330">
        <w:t xml:space="preserve"> expectations in each of the</w:t>
      </w:r>
      <w:r>
        <w:t xml:space="preserve"> </w:t>
      </w:r>
      <w:r w:rsidRPr="006D7330">
        <w:t>three areas.</w:t>
      </w:r>
      <w:r w:rsidRPr="00B20B93">
        <w:t xml:space="preserve"> </w:t>
      </w:r>
      <w:r>
        <w:t xml:space="preserve">  </w:t>
      </w:r>
    </w:p>
    <w:p w14:paraId="4C404E1C" w14:textId="77777777" w:rsidR="003F0541" w:rsidRPr="007A62BA" w:rsidRDefault="003F0541" w:rsidP="00386FB5">
      <w:pPr>
        <w:pStyle w:val="Footer"/>
        <w:tabs>
          <w:tab w:val="clear" w:pos="4320"/>
          <w:tab w:val="clear" w:pos="8640"/>
          <w:tab w:val="left" w:pos="720"/>
          <w:tab w:val="left" w:pos="7380"/>
        </w:tabs>
        <w:rPr>
          <w:rFonts w:ascii="Times New Roman" w:hAnsi="Times New Roman"/>
          <w:szCs w:val="24"/>
        </w:rPr>
      </w:pPr>
    </w:p>
    <w:p w14:paraId="5A01587E" w14:textId="77777777" w:rsidR="003F0541" w:rsidRPr="006D7330" w:rsidRDefault="0013527A" w:rsidP="00386FB5">
      <w:pPr>
        <w:tabs>
          <w:tab w:val="left" w:pos="720"/>
          <w:tab w:val="left" w:pos="7380"/>
        </w:tabs>
        <w:ind w:left="720" w:hanging="360"/>
      </w:pPr>
      <w:r>
        <w:t>4</w:t>
      </w:r>
      <w:r w:rsidR="003F0541" w:rsidRPr="006D7330">
        <w:t>.   Chair reviews faculty dossiers,</w:t>
      </w:r>
      <w:r w:rsidR="00BF05DE">
        <w:t xml:space="preserve"> reviews</w:t>
      </w:r>
      <w:r w:rsidR="003F0541" w:rsidRPr="006D7330">
        <w:t xml:space="preserve"> </w:t>
      </w:r>
      <w:r w:rsidR="003F0541">
        <w:t>FRC</w:t>
      </w:r>
      <w:r>
        <w:t xml:space="preserve"> recommendations</w:t>
      </w:r>
      <w:r w:rsidR="002F2098">
        <w:t>,</w:t>
      </w:r>
      <w:r w:rsidR="003F0541">
        <w:tab/>
      </w:r>
      <w:r w:rsidR="003F0541" w:rsidRPr="006D7330">
        <w:t>1 March</w:t>
      </w:r>
      <w:r w:rsidR="003F0541">
        <w:tab/>
      </w:r>
    </w:p>
    <w:p w14:paraId="00ACCF31" w14:textId="77777777" w:rsidR="003F0541" w:rsidRDefault="003F0541" w:rsidP="00386FB5">
      <w:pPr>
        <w:tabs>
          <w:tab w:val="left" w:pos="720"/>
          <w:tab w:val="left" w:pos="7380"/>
        </w:tabs>
        <w:ind w:left="720" w:right="2520" w:hanging="360"/>
      </w:pPr>
      <w:r w:rsidRPr="006D7330">
        <w:lastRenderedPageBreak/>
        <w:tab/>
        <w:t>completes his</w:t>
      </w:r>
      <w:r>
        <w:t xml:space="preserve"> or </w:t>
      </w:r>
      <w:r w:rsidRPr="006D7330">
        <w:t>her evaluations,</w:t>
      </w:r>
      <w:r w:rsidR="0013527A">
        <w:t xml:space="preserve"> </w:t>
      </w:r>
      <w:r w:rsidRPr="006D7330">
        <w:t xml:space="preserve">and </w:t>
      </w:r>
      <w:r w:rsidR="000F2DFD">
        <w:t xml:space="preserve">upon request </w:t>
      </w:r>
      <w:r w:rsidRPr="006D7330">
        <w:t>meets briefly w</w:t>
      </w:r>
      <w:r>
        <w:t xml:space="preserve">ith faculty members to share </w:t>
      </w:r>
      <w:r w:rsidR="00BF05DE">
        <w:t>C</w:t>
      </w:r>
      <w:r>
        <w:t>hair’s</w:t>
      </w:r>
      <w:r w:rsidR="0013527A">
        <w:t xml:space="preserve"> </w:t>
      </w:r>
      <w:r w:rsidRPr="006D7330">
        <w:t>conclusions.</w:t>
      </w:r>
      <w:r>
        <w:tab/>
      </w:r>
      <w:r>
        <w:tab/>
        <w:t xml:space="preserve">          </w:t>
      </w:r>
    </w:p>
    <w:p w14:paraId="0095301F" w14:textId="77777777" w:rsidR="00AF3498" w:rsidRDefault="009B62F7" w:rsidP="009B62F7">
      <w:r>
        <w:t xml:space="preserve"> </w:t>
      </w:r>
    </w:p>
    <w:sectPr w:rsidR="00AF3498" w:rsidSect="00544A29">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E40D" w14:textId="77777777" w:rsidR="00D4143D" w:rsidRDefault="00D4143D">
      <w:r>
        <w:separator/>
      </w:r>
    </w:p>
  </w:endnote>
  <w:endnote w:type="continuationSeparator" w:id="0">
    <w:p w14:paraId="3267C94B" w14:textId="77777777" w:rsidR="00D4143D" w:rsidRDefault="00D4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39DA" w14:textId="77777777" w:rsidR="00EA5DC9" w:rsidRDefault="00EA5DC9" w:rsidP="003F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63AEE" w14:textId="77777777" w:rsidR="00EA5DC9" w:rsidRDefault="00EA5DC9" w:rsidP="003F0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B9A1" w14:textId="77777777" w:rsidR="00EA5DC9" w:rsidRDefault="00EA5DC9" w:rsidP="003F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280">
      <w:rPr>
        <w:rStyle w:val="PageNumber"/>
        <w:noProof/>
      </w:rPr>
      <w:t>7</w:t>
    </w:r>
    <w:r>
      <w:rPr>
        <w:rStyle w:val="PageNumber"/>
      </w:rPr>
      <w:fldChar w:fldCharType="end"/>
    </w:r>
  </w:p>
  <w:p w14:paraId="0E222836" w14:textId="77777777" w:rsidR="00EA5DC9" w:rsidRDefault="00EA5DC9" w:rsidP="003F054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D238" w14:textId="77777777" w:rsidR="00795BBF" w:rsidRDefault="00795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7E46" w14:textId="77777777" w:rsidR="00D4143D" w:rsidRDefault="00D4143D">
      <w:r>
        <w:separator/>
      </w:r>
    </w:p>
  </w:footnote>
  <w:footnote w:type="continuationSeparator" w:id="0">
    <w:p w14:paraId="4BF87BC5" w14:textId="77777777" w:rsidR="00D4143D" w:rsidRDefault="00D4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2034" w14:textId="77777777" w:rsidR="00795BBF" w:rsidRDefault="00795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824B" w14:textId="77777777" w:rsidR="00EA5DC9" w:rsidRDefault="00EA5DC9" w:rsidP="003F0541">
    <w:pPr>
      <w:pStyle w:val="Header"/>
      <w:jc w:val="right"/>
    </w:pPr>
    <w:r>
      <w:t>Merit/Performance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6E37" w14:textId="77777777" w:rsidR="00795BBF" w:rsidRDefault="00795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9F306222"/>
    <w:lvl w:ilvl="0">
      <w:start w:val="7"/>
      <w:numFmt w:val="upperLetter"/>
      <w:lvlText w:val="%1."/>
      <w:lvlJc w:val="left"/>
      <w:pPr>
        <w:tabs>
          <w:tab w:val="num" w:pos="1080"/>
        </w:tabs>
        <w:ind w:left="1080" w:hanging="360"/>
      </w:pPr>
    </w:lvl>
  </w:abstractNum>
  <w:abstractNum w:abstractNumId="2" w15:restartNumberingAfterBreak="0">
    <w:nsid w:val="00000006"/>
    <w:multiLevelType w:val="singleLevel"/>
    <w:tmpl w:val="7F6CC210"/>
    <w:lvl w:ilvl="0">
      <w:start w:val="4"/>
      <w:numFmt w:val="upperLetter"/>
      <w:lvlText w:val="%1."/>
      <w:lvlJc w:val="left"/>
      <w:pPr>
        <w:tabs>
          <w:tab w:val="num" w:pos="1080"/>
        </w:tabs>
        <w:ind w:left="1080" w:hanging="360"/>
      </w:pPr>
    </w:lvl>
  </w:abstractNum>
  <w:abstractNum w:abstractNumId="3" w15:restartNumberingAfterBreak="0">
    <w:nsid w:val="5A066C2E"/>
    <w:multiLevelType w:val="hybridMultilevel"/>
    <w:tmpl w:val="47587106"/>
    <w:lvl w:ilvl="0" w:tplc="69DEF19A">
      <w:start w:val="6"/>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895F4C"/>
    <w:multiLevelType w:val="hybridMultilevel"/>
    <w:tmpl w:val="804A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7"/>
    </w:lvlOverride>
  </w:num>
  <w:num w:numId="3">
    <w:abstractNumId w:val="2"/>
    <w:lvlOverride w:ilvl="0">
      <w:startOverride w:val="4"/>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83"/>
    <w:rsid w:val="000121EC"/>
    <w:rsid w:val="000153B2"/>
    <w:rsid w:val="00017769"/>
    <w:rsid w:val="00020E58"/>
    <w:rsid w:val="00034112"/>
    <w:rsid w:val="0004212E"/>
    <w:rsid w:val="00043DBB"/>
    <w:rsid w:val="00050ACF"/>
    <w:rsid w:val="00051997"/>
    <w:rsid w:val="00057F4A"/>
    <w:rsid w:val="00061671"/>
    <w:rsid w:val="000713F6"/>
    <w:rsid w:val="00072A3D"/>
    <w:rsid w:val="00082E16"/>
    <w:rsid w:val="00084DF4"/>
    <w:rsid w:val="00086724"/>
    <w:rsid w:val="000900F9"/>
    <w:rsid w:val="000A44E4"/>
    <w:rsid w:val="000A671C"/>
    <w:rsid w:val="000B1420"/>
    <w:rsid w:val="000B72EC"/>
    <w:rsid w:val="000C1B61"/>
    <w:rsid w:val="000C23ED"/>
    <w:rsid w:val="000C37DC"/>
    <w:rsid w:val="000C56FC"/>
    <w:rsid w:val="000D0582"/>
    <w:rsid w:val="000D2B88"/>
    <w:rsid w:val="000D6CF7"/>
    <w:rsid w:val="000E6BCD"/>
    <w:rsid w:val="000F2DFD"/>
    <w:rsid w:val="000F348C"/>
    <w:rsid w:val="000F7768"/>
    <w:rsid w:val="000F7F60"/>
    <w:rsid w:val="0011196B"/>
    <w:rsid w:val="0013527A"/>
    <w:rsid w:val="00144AEE"/>
    <w:rsid w:val="00146304"/>
    <w:rsid w:val="00162919"/>
    <w:rsid w:val="00164F4E"/>
    <w:rsid w:val="001658C2"/>
    <w:rsid w:val="001659BA"/>
    <w:rsid w:val="00166E7F"/>
    <w:rsid w:val="001819C6"/>
    <w:rsid w:val="00182631"/>
    <w:rsid w:val="00183142"/>
    <w:rsid w:val="00183F8A"/>
    <w:rsid w:val="001862B5"/>
    <w:rsid w:val="001864A4"/>
    <w:rsid w:val="001868AC"/>
    <w:rsid w:val="00186D4A"/>
    <w:rsid w:val="00194011"/>
    <w:rsid w:val="00194CF6"/>
    <w:rsid w:val="001A3DFC"/>
    <w:rsid w:val="001A54E1"/>
    <w:rsid w:val="001B10D4"/>
    <w:rsid w:val="001B2FDD"/>
    <w:rsid w:val="001B70E1"/>
    <w:rsid w:val="001C0A02"/>
    <w:rsid w:val="001C3CD6"/>
    <w:rsid w:val="001D0AA0"/>
    <w:rsid w:val="001E4925"/>
    <w:rsid w:val="001E49F9"/>
    <w:rsid w:val="001F10A7"/>
    <w:rsid w:val="001F1E0A"/>
    <w:rsid w:val="001F5F37"/>
    <w:rsid w:val="001F63A1"/>
    <w:rsid w:val="001F7729"/>
    <w:rsid w:val="001F7790"/>
    <w:rsid w:val="00200880"/>
    <w:rsid w:val="002018B1"/>
    <w:rsid w:val="00206B30"/>
    <w:rsid w:val="00211A8F"/>
    <w:rsid w:val="00220D77"/>
    <w:rsid w:val="002210F3"/>
    <w:rsid w:val="00222386"/>
    <w:rsid w:val="00225E69"/>
    <w:rsid w:val="00227325"/>
    <w:rsid w:val="0023065E"/>
    <w:rsid w:val="002333CD"/>
    <w:rsid w:val="00234E4D"/>
    <w:rsid w:val="00236BE8"/>
    <w:rsid w:val="00237E60"/>
    <w:rsid w:val="00241FE8"/>
    <w:rsid w:val="0024309B"/>
    <w:rsid w:val="00243787"/>
    <w:rsid w:val="00252A4D"/>
    <w:rsid w:val="00254251"/>
    <w:rsid w:val="0025442C"/>
    <w:rsid w:val="002603E6"/>
    <w:rsid w:val="00260421"/>
    <w:rsid w:val="00261451"/>
    <w:rsid w:val="00263A1A"/>
    <w:rsid w:val="00266FF9"/>
    <w:rsid w:val="00267489"/>
    <w:rsid w:val="00271875"/>
    <w:rsid w:val="00275DE0"/>
    <w:rsid w:val="00276FE0"/>
    <w:rsid w:val="00282015"/>
    <w:rsid w:val="00283AD1"/>
    <w:rsid w:val="00286BEC"/>
    <w:rsid w:val="00292A31"/>
    <w:rsid w:val="00293808"/>
    <w:rsid w:val="00293846"/>
    <w:rsid w:val="00293AD9"/>
    <w:rsid w:val="002945A8"/>
    <w:rsid w:val="002A047C"/>
    <w:rsid w:val="002A40C1"/>
    <w:rsid w:val="002A78E9"/>
    <w:rsid w:val="002B09E3"/>
    <w:rsid w:val="002B2732"/>
    <w:rsid w:val="002C2B6F"/>
    <w:rsid w:val="002C7F86"/>
    <w:rsid w:val="002D05A6"/>
    <w:rsid w:val="002D1B32"/>
    <w:rsid w:val="002E60EE"/>
    <w:rsid w:val="002F2098"/>
    <w:rsid w:val="002F5B63"/>
    <w:rsid w:val="002F71F4"/>
    <w:rsid w:val="002F7DFB"/>
    <w:rsid w:val="00301108"/>
    <w:rsid w:val="00305681"/>
    <w:rsid w:val="003062F2"/>
    <w:rsid w:val="00314878"/>
    <w:rsid w:val="00315AA1"/>
    <w:rsid w:val="00315F14"/>
    <w:rsid w:val="00320BAB"/>
    <w:rsid w:val="00321AA7"/>
    <w:rsid w:val="00322683"/>
    <w:rsid w:val="00325E72"/>
    <w:rsid w:val="00327A66"/>
    <w:rsid w:val="00330D78"/>
    <w:rsid w:val="00331621"/>
    <w:rsid w:val="0033300D"/>
    <w:rsid w:val="00335EDE"/>
    <w:rsid w:val="00335FC6"/>
    <w:rsid w:val="00346750"/>
    <w:rsid w:val="003536B4"/>
    <w:rsid w:val="00355061"/>
    <w:rsid w:val="00362389"/>
    <w:rsid w:val="003658A2"/>
    <w:rsid w:val="003675F6"/>
    <w:rsid w:val="0037142B"/>
    <w:rsid w:val="0037441F"/>
    <w:rsid w:val="003748FA"/>
    <w:rsid w:val="003845AF"/>
    <w:rsid w:val="00386FB5"/>
    <w:rsid w:val="00395D7E"/>
    <w:rsid w:val="00395E1C"/>
    <w:rsid w:val="00396694"/>
    <w:rsid w:val="00397A4D"/>
    <w:rsid w:val="003A2EF6"/>
    <w:rsid w:val="003B02EB"/>
    <w:rsid w:val="003B29C9"/>
    <w:rsid w:val="003C1DED"/>
    <w:rsid w:val="003C3164"/>
    <w:rsid w:val="003C3289"/>
    <w:rsid w:val="003C3F05"/>
    <w:rsid w:val="003C4F14"/>
    <w:rsid w:val="003D66C8"/>
    <w:rsid w:val="003E1448"/>
    <w:rsid w:val="003E6A13"/>
    <w:rsid w:val="003E72F1"/>
    <w:rsid w:val="003F04D6"/>
    <w:rsid w:val="003F0541"/>
    <w:rsid w:val="003F2080"/>
    <w:rsid w:val="00400748"/>
    <w:rsid w:val="0040398E"/>
    <w:rsid w:val="004132F6"/>
    <w:rsid w:val="004220CC"/>
    <w:rsid w:val="0043070B"/>
    <w:rsid w:val="004328FC"/>
    <w:rsid w:val="00436E5E"/>
    <w:rsid w:val="004419F6"/>
    <w:rsid w:val="00447B58"/>
    <w:rsid w:val="004516F5"/>
    <w:rsid w:val="00453622"/>
    <w:rsid w:val="00456EEC"/>
    <w:rsid w:val="00457FA9"/>
    <w:rsid w:val="00466EC5"/>
    <w:rsid w:val="004771EB"/>
    <w:rsid w:val="00485A28"/>
    <w:rsid w:val="00492F06"/>
    <w:rsid w:val="00494567"/>
    <w:rsid w:val="00495796"/>
    <w:rsid w:val="0049798C"/>
    <w:rsid w:val="004A3036"/>
    <w:rsid w:val="004A36FD"/>
    <w:rsid w:val="004A7D50"/>
    <w:rsid w:val="004B0A4B"/>
    <w:rsid w:val="004B6F2E"/>
    <w:rsid w:val="004B7BE9"/>
    <w:rsid w:val="004C3661"/>
    <w:rsid w:val="004C3744"/>
    <w:rsid w:val="004C3D59"/>
    <w:rsid w:val="004D405E"/>
    <w:rsid w:val="004D49D9"/>
    <w:rsid w:val="004D710F"/>
    <w:rsid w:val="004E103F"/>
    <w:rsid w:val="004F1763"/>
    <w:rsid w:val="004F3280"/>
    <w:rsid w:val="004F3A76"/>
    <w:rsid w:val="00501AC5"/>
    <w:rsid w:val="005023D7"/>
    <w:rsid w:val="00503EE8"/>
    <w:rsid w:val="00507370"/>
    <w:rsid w:val="00507A2F"/>
    <w:rsid w:val="00531AAF"/>
    <w:rsid w:val="00544382"/>
    <w:rsid w:val="00544A29"/>
    <w:rsid w:val="005611AF"/>
    <w:rsid w:val="00563624"/>
    <w:rsid w:val="005640D6"/>
    <w:rsid w:val="0056608B"/>
    <w:rsid w:val="0057052E"/>
    <w:rsid w:val="00570F42"/>
    <w:rsid w:val="00571091"/>
    <w:rsid w:val="005829B0"/>
    <w:rsid w:val="00586FDE"/>
    <w:rsid w:val="00591FD2"/>
    <w:rsid w:val="005937C0"/>
    <w:rsid w:val="005A4986"/>
    <w:rsid w:val="005C03A4"/>
    <w:rsid w:val="005C4232"/>
    <w:rsid w:val="005C56F5"/>
    <w:rsid w:val="005D10E8"/>
    <w:rsid w:val="005D23CD"/>
    <w:rsid w:val="005D4111"/>
    <w:rsid w:val="005D6FE9"/>
    <w:rsid w:val="005E5955"/>
    <w:rsid w:val="005F05A0"/>
    <w:rsid w:val="005F723A"/>
    <w:rsid w:val="00600812"/>
    <w:rsid w:val="00616E02"/>
    <w:rsid w:val="006204FA"/>
    <w:rsid w:val="00620AB4"/>
    <w:rsid w:val="00621701"/>
    <w:rsid w:val="00622B0B"/>
    <w:rsid w:val="006278C7"/>
    <w:rsid w:val="00643206"/>
    <w:rsid w:val="0064528E"/>
    <w:rsid w:val="006509EB"/>
    <w:rsid w:val="00650A33"/>
    <w:rsid w:val="00663835"/>
    <w:rsid w:val="00666200"/>
    <w:rsid w:val="00675353"/>
    <w:rsid w:val="00675A94"/>
    <w:rsid w:val="00676EA3"/>
    <w:rsid w:val="0068016D"/>
    <w:rsid w:val="006847AF"/>
    <w:rsid w:val="006871D4"/>
    <w:rsid w:val="00690096"/>
    <w:rsid w:val="00694F59"/>
    <w:rsid w:val="0069780B"/>
    <w:rsid w:val="006A5E23"/>
    <w:rsid w:val="006A789A"/>
    <w:rsid w:val="006B6C6B"/>
    <w:rsid w:val="006B70DC"/>
    <w:rsid w:val="006D21FE"/>
    <w:rsid w:val="006D2567"/>
    <w:rsid w:val="006D5253"/>
    <w:rsid w:val="006D58CE"/>
    <w:rsid w:val="006D6AE8"/>
    <w:rsid w:val="006E106E"/>
    <w:rsid w:val="006E3838"/>
    <w:rsid w:val="006E5547"/>
    <w:rsid w:val="006F117D"/>
    <w:rsid w:val="00707629"/>
    <w:rsid w:val="00713551"/>
    <w:rsid w:val="00716707"/>
    <w:rsid w:val="007168F5"/>
    <w:rsid w:val="007171DF"/>
    <w:rsid w:val="00726A3D"/>
    <w:rsid w:val="00727B30"/>
    <w:rsid w:val="00742B9D"/>
    <w:rsid w:val="00745822"/>
    <w:rsid w:val="00746626"/>
    <w:rsid w:val="007504AC"/>
    <w:rsid w:val="00756C74"/>
    <w:rsid w:val="00764811"/>
    <w:rsid w:val="0076645C"/>
    <w:rsid w:val="007669D5"/>
    <w:rsid w:val="0077135E"/>
    <w:rsid w:val="00772B1E"/>
    <w:rsid w:val="00780F7D"/>
    <w:rsid w:val="00784B12"/>
    <w:rsid w:val="0078521C"/>
    <w:rsid w:val="00785667"/>
    <w:rsid w:val="007856DF"/>
    <w:rsid w:val="00793BD2"/>
    <w:rsid w:val="007948EF"/>
    <w:rsid w:val="00795BBF"/>
    <w:rsid w:val="007A42E0"/>
    <w:rsid w:val="007A5E7C"/>
    <w:rsid w:val="007B56C4"/>
    <w:rsid w:val="007C0BD9"/>
    <w:rsid w:val="007C7665"/>
    <w:rsid w:val="007D25FA"/>
    <w:rsid w:val="007D71C1"/>
    <w:rsid w:val="007E055E"/>
    <w:rsid w:val="007E5434"/>
    <w:rsid w:val="007E5A4E"/>
    <w:rsid w:val="007F4AB1"/>
    <w:rsid w:val="007F65C9"/>
    <w:rsid w:val="0080127C"/>
    <w:rsid w:val="00801A24"/>
    <w:rsid w:val="008027C7"/>
    <w:rsid w:val="00807077"/>
    <w:rsid w:val="00812539"/>
    <w:rsid w:val="00825FFB"/>
    <w:rsid w:val="00832E9D"/>
    <w:rsid w:val="0083675C"/>
    <w:rsid w:val="008446A8"/>
    <w:rsid w:val="008466FA"/>
    <w:rsid w:val="00846E0D"/>
    <w:rsid w:val="00855CBE"/>
    <w:rsid w:val="00856944"/>
    <w:rsid w:val="008650A6"/>
    <w:rsid w:val="00877ABC"/>
    <w:rsid w:val="00881DAB"/>
    <w:rsid w:val="008829D5"/>
    <w:rsid w:val="00884542"/>
    <w:rsid w:val="00890CC5"/>
    <w:rsid w:val="0089289A"/>
    <w:rsid w:val="00894DC2"/>
    <w:rsid w:val="008A2AF4"/>
    <w:rsid w:val="008A2E4B"/>
    <w:rsid w:val="008A7831"/>
    <w:rsid w:val="008B6E2D"/>
    <w:rsid w:val="008B7866"/>
    <w:rsid w:val="008C0465"/>
    <w:rsid w:val="008C05C0"/>
    <w:rsid w:val="008C3109"/>
    <w:rsid w:val="008D1B0B"/>
    <w:rsid w:val="008D4E4F"/>
    <w:rsid w:val="008D71E0"/>
    <w:rsid w:val="008E0542"/>
    <w:rsid w:val="008E4EAF"/>
    <w:rsid w:val="008E54F8"/>
    <w:rsid w:val="008F1D92"/>
    <w:rsid w:val="008F47BB"/>
    <w:rsid w:val="00901019"/>
    <w:rsid w:val="0090472C"/>
    <w:rsid w:val="0090524D"/>
    <w:rsid w:val="009136D8"/>
    <w:rsid w:val="009208BF"/>
    <w:rsid w:val="009255D1"/>
    <w:rsid w:val="009377FA"/>
    <w:rsid w:val="00952A95"/>
    <w:rsid w:val="00954A39"/>
    <w:rsid w:val="00957515"/>
    <w:rsid w:val="00964660"/>
    <w:rsid w:val="00966D5A"/>
    <w:rsid w:val="0097027E"/>
    <w:rsid w:val="0097367E"/>
    <w:rsid w:val="00977622"/>
    <w:rsid w:val="009831C2"/>
    <w:rsid w:val="009852B3"/>
    <w:rsid w:val="009852E1"/>
    <w:rsid w:val="00986EAA"/>
    <w:rsid w:val="0099111F"/>
    <w:rsid w:val="009A0B1E"/>
    <w:rsid w:val="009A24E4"/>
    <w:rsid w:val="009A2A0C"/>
    <w:rsid w:val="009A3D65"/>
    <w:rsid w:val="009A4E4A"/>
    <w:rsid w:val="009B1B49"/>
    <w:rsid w:val="009B5DAF"/>
    <w:rsid w:val="009B62F7"/>
    <w:rsid w:val="009B68BE"/>
    <w:rsid w:val="009C779A"/>
    <w:rsid w:val="009D04EE"/>
    <w:rsid w:val="009E4012"/>
    <w:rsid w:val="009E5801"/>
    <w:rsid w:val="009E6FBC"/>
    <w:rsid w:val="009F2182"/>
    <w:rsid w:val="009F6DA7"/>
    <w:rsid w:val="00A00073"/>
    <w:rsid w:val="00A0427D"/>
    <w:rsid w:val="00A04688"/>
    <w:rsid w:val="00A0681C"/>
    <w:rsid w:val="00A1137B"/>
    <w:rsid w:val="00A17C97"/>
    <w:rsid w:val="00A20C2D"/>
    <w:rsid w:val="00A22676"/>
    <w:rsid w:val="00A2779B"/>
    <w:rsid w:val="00A3248B"/>
    <w:rsid w:val="00A3480B"/>
    <w:rsid w:val="00A37B83"/>
    <w:rsid w:val="00A456FF"/>
    <w:rsid w:val="00A45A85"/>
    <w:rsid w:val="00A5655A"/>
    <w:rsid w:val="00A6706A"/>
    <w:rsid w:val="00A73CCD"/>
    <w:rsid w:val="00A80FA6"/>
    <w:rsid w:val="00A81924"/>
    <w:rsid w:val="00A82AA1"/>
    <w:rsid w:val="00A82D31"/>
    <w:rsid w:val="00A846A3"/>
    <w:rsid w:val="00A85722"/>
    <w:rsid w:val="00A8698D"/>
    <w:rsid w:val="00A9112F"/>
    <w:rsid w:val="00A948AD"/>
    <w:rsid w:val="00AA1D2A"/>
    <w:rsid w:val="00AA7789"/>
    <w:rsid w:val="00AB04A4"/>
    <w:rsid w:val="00AB1362"/>
    <w:rsid w:val="00AB1477"/>
    <w:rsid w:val="00AB3187"/>
    <w:rsid w:val="00AB3851"/>
    <w:rsid w:val="00AB466F"/>
    <w:rsid w:val="00AB4B08"/>
    <w:rsid w:val="00AB6462"/>
    <w:rsid w:val="00AD0FF6"/>
    <w:rsid w:val="00AD7921"/>
    <w:rsid w:val="00AE0C28"/>
    <w:rsid w:val="00AE3A88"/>
    <w:rsid w:val="00AF3498"/>
    <w:rsid w:val="00AF608D"/>
    <w:rsid w:val="00AF7719"/>
    <w:rsid w:val="00B00CD8"/>
    <w:rsid w:val="00B05A52"/>
    <w:rsid w:val="00B175C1"/>
    <w:rsid w:val="00B267C7"/>
    <w:rsid w:val="00B33829"/>
    <w:rsid w:val="00B53C5B"/>
    <w:rsid w:val="00B5550F"/>
    <w:rsid w:val="00B55784"/>
    <w:rsid w:val="00B609B9"/>
    <w:rsid w:val="00B62F2A"/>
    <w:rsid w:val="00B66845"/>
    <w:rsid w:val="00B70E79"/>
    <w:rsid w:val="00B758B8"/>
    <w:rsid w:val="00B8044E"/>
    <w:rsid w:val="00B8291D"/>
    <w:rsid w:val="00B97C0A"/>
    <w:rsid w:val="00BA0291"/>
    <w:rsid w:val="00BA2562"/>
    <w:rsid w:val="00BA5C1C"/>
    <w:rsid w:val="00BA6F10"/>
    <w:rsid w:val="00BB0034"/>
    <w:rsid w:val="00BC11EC"/>
    <w:rsid w:val="00BC5C88"/>
    <w:rsid w:val="00BC7E3B"/>
    <w:rsid w:val="00BD0811"/>
    <w:rsid w:val="00BD2C56"/>
    <w:rsid w:val="00BD4542"/>
    <w:rsid w:val="00BD4573"/>
    <w:rsid w:val="00BE15DE"/>
    <w:rsid w:val="00BE329B"/>
    <w:rsid w:val="00BE340C"/>
    <w:rsid w:val="00BF05DE"/>
    <w:rsid w:val="00BF2757"/>
    <w:rsid w:val="00BF55B5"/>
    <w:rsid w:val="00BF7B03"/>
    <w:rsid w:val="00C0192D"/>
    <w:rsid w:val="00C110B4"/>
    <w:rsid w:val="00C13A81"/>
    <w:rsid w:val="00C208A7"/>
    <w:rsid w:val="00C22B0D"/>
    <w:rsid w:val="00C25843"/>
    <w:rsid w:val="00C26270"/>
    <w:rsid w:val="00C26807"/>
    <w:rsid w:val="00C30AE9"/>
    <w:rsid w:val="00C30FBC"/>
    <w:rsid w:val="00C3352E"/>
    <w:rsid w:val="00C34669"/>
    <w:rsid w:val="00C35A10"/>
    <w:rsid w:val="00C40F0F"/>
    <w:rsid w:val="00C42A92"/>
    <w:rsid w:val="00C43CB5"/>
    <w:rsid w:val="00C443BE"/>
    <w:rsid w:val="00C4602C"/>
    <w:rsid w:val="00C4711A"/>
    <w:rsid w:val="00C638B4"/>
    <w:rsid w:val="00C7580F"/>
    <w:rsid w:val="00C81233"/>
    <w:rsid w:val="00C817F8"/>
    <w:rsid w:val="00CA0BC0"/>
    <w:rsid w:val="00CA28BE"/>
    <w:rsid w:val="00CA4C6A"/>
    <w:rsid w:val="00CA7CD1"/>
    <w:rsid w:val="00CB2262"/>
    <w:rsid w:val="00CB4FF4"/>
    <w:rsid w:val="00CD04C3"/>
    <w:rsid w:val="00CD1BAA"/>
    <w:rsid w:val="00CD3A16"/>
    <w:rsid w:val="00CE5063"/>
    <w:rsid w:val="00CE74A2"/>
    <w:rsid w:val="00CE7DF3"/>
    <w:rsid w:val="00CF4389"/>
    <w:rsid w:val="00D03F67"/>
    <w:rsid w:val="00D101AF"/>
    <w:rsid w:val="00D1238E"/>
    <w:rsid w:val="00D12F49"/>
    <w:rsid w:val="00D14483"/>
    <w:rsid w:val="00D14990"/>
    <w:rsid w:val="00D175CD"/>
    <w:rsid w:val="00D20771"/>
    <w:rsid w:val="00D32727"/>
    <w:rsid w:val="00D36C3D"/>
    <w:rsid w:val="00D3783F"/>
    <w:rsid w:val="00D41021"/>
    <w:rsid w:val="00D4143D"/>
    <w:rsid w:val="00D54A91"/>
    <w:rsid w:val="00D54AAD"/>
    <w:rsid w:val="00D56962"/>
    <w:rsid w:val="00D60142"/>
    <w:rsid w:val="00D60960"/>
    <w:rsid w:val="00D64945"/>
    <w:rsid w:val="00D71049"/>
    <w:rsid w:val="00D7548F"/>
    <w:rsid w:val="00D90FDB"/>
    <w:rsid w:val="00D927BA"/>
    <w:rsid w:val="00D93ED1"/>
    <w:rsid w:val="00DA0AC3"/>
    <w:rsid w:val="00DA2DB7"/>
    <w:rsid w:val="00DA3A0D"/>
    <w:rsid w:val="00DA52F7"/>
    <w:rsid w:val="00DB06BC"/>
    <w:rsid w:val="00DB614B"/>
    <w:rsid w:val="00DD27D7"/>
    <w:rsid w:val="00DD2AAA"/>
    <w:rsid w:val="00DD3A3B"/>
    <w:rsid w:val="00DD45E1"/>
    <w:rsid w:val="00DD51B5"/>
    <w:rsid w:val="00DD5E54"/>
    <w:rsid w:val="00DE6EF1"/>
    <w:rsid w:val="00DF041E"/>
    <w:rsid w:val="00DF3382"/>
    <w:rsid w:val="00DF5EBF"/>
    <w:rsid w:val="00DF6837"/>
    <w:rsid w:val="00E03AB6"/>
    <w:rsid w:val="00E13482"/>
    <w:rsid w:val="00E13AE1"/>
    <w:rsid w:val="00E14D96"/>
    <w:rsid w:val="00E1738B"/>
    <w:rsid w:val="00E2179D"/>
    <w:rsid w:val="00E2225B"/>
    <w:rsid w:val="00E235B8"/>
    <w:rsid w:val="00E23633"/>
    <w:rsid w:val="00E26F2C"/>
    <w:rsid w:val="00E27CF1"/>
    <w:rsid w:val="00E409A9"/>
    <w:rsid w:val="00E42CC5"/>
    <w:rsid w:val="00E47C62"/>
    <w:rsid w:val="00E51060"/>
    <w:rsid w:val="00E52299"/>
    <w:rsid w:val="00E603BC"/>
    <w:rsid w:val="00E771A4"/>
    <w:rsid w:val="00E91842"/>
    <w:rsid w:val="00E919AF"/>
    <w:rsid w:val="00EA5DC9"/>
    <w:rsid w:val="00EB0544"/>
    <w:rsid w:val="00EC315F"/>
    <w:rsid w:val="00ED17FB"/>
    <w:rsid w:val="00ED3F24"/>
    <w:rsid w:val="00ED5E87"/>
    <w:rsid w:val="00ED779E"/>
    <w:rsid w:val="00ED7A93"/>
    <w:rsid w:val="00EF123B"/>
    <w:rsid w:val="00F00757"/>
    <w:rsid w:val="00F133C4"/>
    <w:rsid w:val="00F13631"/>
    <w:rsid w:val="00F13B79"/>
    <w:rsid w:val="00F13C91"/>
    <w:rsid w:val="00F21E02"/>
    <w:rsid w:val="00F252BC"/>
    <w:rsid w:val="00F31E44"/>
    <w:rsid w:val="00F32A0B"/>
    <w:rsid w:val="00F45AD2"/>
    <w:rsid w:val="00F474E3"/>
    <w:rsid w:val="00F52328"/>
    <w:rsid w:val="00F60736"/>
    <w:rsid w:val="00F623E8"/>
    <w:rsid w:val="00F632DF"/>
    <w:rsid w:val="00F638A3"/>
    <w:rsid w:val="00F70D35"/>
    <w:rsid w:val="00F72DAF"/>
    <w:rsid w:val="00F740FC"/>
    <w:rsid w:val="00F86172"/>
    <w:rsid w:val="00F868C8"/>
    <w:rsid w:val="00F9491E"/>
    <w:rsid w:val="00F9751D"/>
    <w:rsid w:val="00FA220F"/>
    <w:rsid w:val="00FA6408"/>
    <w:rsid w:val="00FA6E19"/>
    <w:rsid w:val="00FC024B"/>
    <w:rsid w:val="00FC293A"/>
    <w:rsid w:val="00FC6CAE"/>
    <w:rsid w:val="00FD1817"/>
    <w:rsid w:val="00FD1C0A"/>
    <w:rsid w:val="00FD27A1"/>
    <w:rsid w:val="00FE02C5"/>
    <w:rsid w:val="00FE57FF"/>
    <w:rsid w:val="00FE62F2"/>
    <w:rsid w:val="00FF09BA"/>
    <w:rsid w:val="00FF0B1B"/>
    <w:rsid w:val="00FF348D"/>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2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B83"/>
    <w:rPr>
      <w:sz w:val="24"/>
      <w:szCs w:val="24"/>
    </w:rPr>
  </w:style>
  <w:style w:type="paragraph" w:styleId="Heading2">
    <w:name w:val="heading 2"/>
    <w:basedOn w:val="Normal"/>
    <w:next w:val="Normal"/>
    <w:link w:val="Heading2Char"/>
    <w:uiPriority w:val="9"/>
    <w:semiHidden/>
    <w:unhideWhenUsed/>
    <w:qFormat/>
    <w:rsid w:val="00386FB5"/>
    <w:pPr>
      <w:keepNext/>
      <w:spacing w:before="240" w:after="60"/>
      <w:outlineLvl w:val="1"/>
    </w:pPr>
    <w:rPr>
      <w:rFonts w:ascii="Cambria" w:hAnsi="Cambria"/>
      <w:b/>
      <w:bCs/>
      <w:i/>
      <w:iCs/>
      <w:sz w:val="28"/>
      <w:szCs w:val="28"/>
    </w:rPr>
  </w:style>
  <w:style w:type="paragraph" w:styleId="Heading4">
    <w:name w:val="heading 4"/>
    <w:basedOn w:val="Normal"/>
    <w:next w:val="Normal"/>
    <w:qFormat/>
    <w:rsid w:val="00A37B83"/>
    <w:pPr>
      <w:keepNext/>
      <w:jc w:val="center"/>
      <w:outlineLvl w:val="3"/>
    </w:pPr>
    <w:rPr>
      <w:rFonts w:ascii="Palatino" w:eastAsia="Arial Unicode MS" w:hAnsi="Palatino" w:cs="Arial Unicode MS"/>
      <w:b/>
      <w:szCs w:val="20"/>
    </w:rPr>
  </w:style>
  <w:style w:type="paragraph" w:styleId="Heading5">
    <w:name w:val="heading 5"/>
    <w:basedOn w:val="Normal"/>
    <w:next w:val="Normal"/>
    <w:qFormat/>
    <w:rsid w:val="00A37B83"/>
    <w:pPr>
      <w:keepNext/>
      <w:jc w:val="center"/>
      <w:outlineLvl w:val="4"/>
    </w:pPr>
    <w:rPr>
      <w:rFonts w:ascii="Times" w:eastAsia="Arial Unicode M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7B83"/>
    <w:pPr>
      <w:tabs>
        <w:tab w:val="center" w:pos="4320"/>
        <w:tab w:val="right" w:pos="8640"/>
      </w:tabs>
    </w:pPr>
    <w:rPr>
      <w:rFonts w:ascii="Times" w:hAnsi="Times"/>
      <w:szCs w:val="20"/>
    </w:rPr>
  </w:style>
  <w:style w:type="paragraph" w:styleId="Header">
    <w:name w:val="header"/>
    <w:basedOn w:val="Normal"/>
    <w:rsid w:val="00A37B83"/>
    <w:pPr>
      <w:tabs>
        <w:tab w:val="center" w:pos="4320"/>
        <w:tab w:val="right" w:pos="8640"/>
      </w:tabs>
    </w:pPr>
  </w:style>
  <w:style w:type="character" w:styleId="PageNumber">
    <w:name w:val="page number"/>
    <w:basedOn w:val="DefaultParagraphFont"/>
    <w:rsid w:val="00A37B83"/>
  </w:style>
  <w:style w:type="paragraph" w:styleId="BalloonText">
    <w:name w:val="Balloon Text"/>
    <w:basedOn w:val="Normal"/>
    <w:link w:val="BalloonTextChar"/>
    <w:uiPriority w:val="99"/>
    <w:semiHidden/>
    <w:unhideWhenUsed/>
    <w:rsid w:val="001A54E1"/>
    <w:rPr>
      <w:rFonts w:ascii="Tahoma" w:hAnsi="Tahoma" w:cs="Tahoma"/>
      <w:sz w:val="16"/>
      <w:szCs w:val="16"/>
    </w:rPr>
  </w:style>
  <w:style w:type="character" w:customStyle="1" w:styleId="BalloonTextChar">
    <w:name w:val="Balloon Text Char"/>
    <w:link w:val="BalloonText"/>
    <w:uiPriority w:val="99"/>
    <w:semiHidden/>
    <w:rsid w:val="001A54E1"/>
    <w:rPr>
      <w:rFonts w:ascii="Tahoma" w:hAnsi="Tahoma" w:cs="Tahoma"/>
      <w:sz w:val="16"/>
      <w:szCs w:val="16"/>
    </w:rPr>
  </w:style>
  <w:style w:type="table" w:styleId="TableGrid">
    <w:name w:val="Table Grid"/>
    <w:basedOn w:val="TableNormal"/>
    <w:uiPriority w:val="39"/>
    <w:rsid w:val="004D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D7"/>
    <w:pPr>
      <w:ind w:left="720"/>
      <w:contextualSpacing/>
    </w:pPr>
    <w:rPr>
      <w:rFonts w:eastAsia="Calibri"/>
      <w:szCs w:val="22"/>
    </w:rPr>
  </w:style>
  <w:style w:type="character" w:styleId="CommentReference">
    <w:name w:val="annotation reference"/>
    <w:uiPriority w:val="99"/>
    <w:semiHidden/>
    <w:unhideWhenUsed/>
    <w:rsid w:val="001659BA"/>
    <w:rPr>
      <w:sz w:val="16"/>
      <w:szCs w:val="16"/>
    </w:rPr>
  </w:style>
  <w:style w:type="paragraph" w:styleId="CommentText">
    <w:name w:val="annotation text"/>
    <w:basedOn w:val="Normal"/>
    <w:link w:val="CommentTextChar"/>
    <w:uiPriority w:val="99"/>
    <w:semiHidden/>
    <w:unhideWhenUsed/>
    <w:rsid w:val="001659BA"/>
    <w:rPr>
      <w:sz w:val="20"/>
      <w:szCs w:val="20"/>
    </w:rPr>
  </w:style>
  <w:style w:type="character" w:customStyle="1" w:styleId="CommentTextChar">
    <w:name w:val="Comment Text Char"/>
    <w:basedOn w:val="DefaultParagraphFont"/>
    <w:link w:val="CommentText"/>
    <w:uiPriority w:val="99"/>
    <w:semiHidden/>
    <w:rsid w:val="001659BA"/>
  </w:style>
  <w:style w:type="paragraph" w:styleId="CommentSubject">
    <w:name w:val="annotation subject"/>
    <w:basedOn w:val="CommentText"/>
    <w:next w:val="CommentText"/>
    <w:link w:val="CommentSubjectChar"/>
    <w:uiPriority w:val="99"/>
    <w:semiHidden/>
    <w:unhideWhenUsed/>
    <w:rsid w:val="001659BA"/>
    <w:rPr>
      <w:b/>
      <w:bCs/>
    </w:rPr>
  </w:style>
  <w:style w:type="character" w:customStyle="1" w:styleId="CommentSubjectChar">
    <w:name w:val="Comment Subject Char"/>
    <w:link w:val="CommentSubject"/>
    <w:uiPriority w:val="99"/>
    <w:semiHidden/>
    <w:rsid w:val="001659BA"/>
    <w:rPr>
      <w:b/>
      <w:bCs/>
    </w:rPr>
  </w:style>
  <w:style w:type="character" w:customStyle="1" w:styleId="Heading2Char">
    <w:name w:val="Heading 2 Char"/>
    <w:link w:val="Heading2"/>
    <w:uiPriority w:val="9"/>
    <w:semiHidden/>
    <w:rsid w:val="00386FB5"/>
    <w:rPr>
      <w:rFonts w:ascii="Cambria" w:eastAsia="Times New Roman" w:hAnsi="Cambria" w:cs="Times New Roman"/>
      <w:b/>
      <w:bCs/>
      <w:i/>
      <w:iCs/>
      <w:sz w:val="28"/>
      <w:szCs w:val="28"/>
    </w:rPr>
  </w:style>
  <w:style w:type="paragraph" w:styleId="z-TopofForm">
    <w:name w:val="HTML Top of Form"/>
    <w:basedOn w:val="Normal"/>
    <w:next w:val="Normal"/>
    <w:link w:val="z-TopofFormChar"/>
    <w:hidden/>
    <w:uiPriority w:val="99"/>
    <w:semiHidden/>
    <w:unhideWhenUsed/>
    <w:rsid w:val="000177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77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77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7769"/>
    <w:rPr>
      <w:rFonts w:ascii="Arial" w:hAnsi="Arial" w:cs="Arial"/>
      <w:vanish/>
      <w:sz w:val="16"/>
      <w:szCs w:val="16"/>
    </w:rPr>
  </w:style>
  <w:style w:type="character" w:styleId="PlaceholderText">
    <w:name w:val="Placeholder Text"/>
    <w:basedOn w:val="DefaultParagraphFont"/>
    <w:uiPriority w:val="99"/>
    <w:semiHidden/>
    <w:rsid w:val="00A73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2478-4D3A-44F8-97EF-08D7EE55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2019-10-10T18:51:00Z</dcterms:created>
  <dcterms:modified xsi:type="dcterms:W3CDTF">2019-10-10T19:06:00Z</dcterms:modified>
</cp:coreProperties>
</file>