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Guggenheim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Balcones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NAACP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Kunitz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Kunitz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Columbia.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[Gali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00:06:03],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Conelle,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Marilynne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Marilynne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Prize-winning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Conroy.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luminaries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Cinderella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Cinderella.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00:07:31]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Barcelona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Rosenthal,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00:08:35]?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prodigy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00:09:28]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Vietnam.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Mojave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Alejandro.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Abiquiu,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O'Keeffe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O'Keeffe's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BNB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00:14:51]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saffron...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saffron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[Bededex 00:15:51]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hermitage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hermitage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incommunicado.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Pulitzer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Frederick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Shakespeare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Jitney.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Guggenheim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Berkeley,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god-son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evacuate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00:20:56].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stand-your-ground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stand-your-ground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scaffold.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surveillance.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critiquing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fiddling.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Guadalajara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black-blue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Tuskegee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Jacqueline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Oprah's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trailblazing,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segregated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legendary.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consults,'"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bookworm.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bookworm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so-and-so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trailblazing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Renaissance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Molokai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00:31:33]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leprosy.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leprosy.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poignance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Kalaupapa.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Belgian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Molokai.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1873,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leprosy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00:33:10],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00:33:33].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Molokai.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handsomest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[Ellahue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00:33:50],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00:34:45]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Dickinson,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merchant.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11_Creative writing with Cyrus Cass... (Completed  12/05/20)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"https://www.rev.com/transcript-editor/Edit?token=ks8DIyTWBi1h_FD3Fn1QJD038t95K4v42AVo49d_ZD8lNF8LNiwnnvBo9nAPt5YV1zZRtYSYRaHJm0CfnZQz24d41tg&amp;loadFrom=DocumentHeaderDeepLink"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