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05" w:rsidRPr="00277F45" w:rsidRDefault="005A5205" w:rsidP="005A5205">
      <w:pPr>
        <w:pStyle w:val="NormalWeb"/>
        <w:jc w:val="center"/>
        <w:rPr>
          <w:rFonts w:ascii="Times New Roman" w:hAnsi="Times New Roman"/>
          <w:sz w:val="28"/>
          <w:szCs w:val="28"/>
          <w:shd w:val="clear" w:color="auto" w:fill="000000"/>
        </w:rPr>
      </w:pPr>
      <w:bookmarkStart w:id="0" w:name="_GoBack"/>
      <w:bookmarkEnd w:id="0"/>
      <w:r>
        <w:rPr>
          <w:rFonts w:ascii="Times New Roman" w:hAnsi="Times New Roman"/>
          <w:sz w:val="28"/>
          <w:szCs w:val="28"/>
          <w:shd w:val="clear" w:color="auto" w:fill="000000"/>
        </w:rPr>
        <w:t>Case No.03-XX</w:t>
      </w:r>
    </w:p>
    <w:p w:rsidR="005A5205" w:rsidRPr="008545CE" w:rsidRDefault="005A5205" w:rsidP="005A5205">
      <w:pPr>
        <w:pStyle w:val="NormalWeb"/>
        <w:rPr>
          <w:sz w:val="28"/>
          <w:szCs w:val="28"/>
        </w:rPr>
      </w:pPr>
      <w:r w:rsidRPr="008545CE">
        <w:rPr>
          <w:rFonts w:ascii="Calibri,Italic" w:hAnsi="Calibri,Italic"/>
          <w:sz w:val="28"/>
          <w:szCs w:val="28"/>
          <w:shd w:val="clear" w:color="auto" w:fill="000000"/>
        </w:rPr>
        <w:t xml:space="preserve">Mr. John </w:t>
      </w:r>
      <w:proofErr w:type="spellStart"/>
      <w:r w:rsidRPr="008545CE">
        <w:rPr>
          <w:rFonts w:ascii="Calibri,Italic" w:hAnsi="Calibri,Italic"/>
          <w:sz w:val="28"/>
          <w:szCs w:val="28"/>
          <w:shd w:val="clear" w:color="auto" w:fill="000000"/>
        </w:rPr>
        <w:t>Willms</w:t>
      </w:r>
      <w:proofErr w:type="spellEnd"/>
      <w:r w:rsidRPr="008545CE">
        <w:rPr>
          <w:rFonts w:ascii="Calibri,Italic" w:hAnsi="Calibri,Italic"/>
          <w:sz w:val="28"/>
          <w:szCs w:val="28"/>
          <w:shd w:val="clear" w:color="auto" w:fill="000000"/>
        </w:rPr>
        <w:t xml:space="preserve"> </w:t>
      </w:r>
      <w:r>
        <w:rPr>
          <w:rFonts w:ascii="Calibri,Italic" w:hAnsi="Calibri,Italic"/>
          <w:sz w:val="28"/>
          <w:szCs w:val="28"/>
          <w:shd w:val="clear" w:color="auto" w:fill="000000"/>
        </w:rPr>
        <w:t xml:space="preserve"> </w:t>
      </w:r>
    </w:p>
    <w:p w:rsidR="005A5205" w:rsidRPr="008545CE" w:rsidRDefault="005A5205" w:rsidP="005A5205">
      <w:pPr>
        <w:pStyle w:val="NormalWeb"/>
        <w:rPr>
          <w:rFonts w:ascii="Calibri,Italic" w:hAnsi="Calibri,Italic" w:hint="eastAsia"/>
          <w:sz w:val="28"/>
          <w:szCs w:val="28"/>
        </w:rPr>
      </w:pPr>
      <w:r w:rsidRPr="008545CE">
        <w:rPr>
          <w:rFonts w:ascii="Calibri,Italic" w:hAnsi="Calibri,Italic"/>
          <w:sz w:val="28"/>
          <w:szCs w:val="28"/>
        </w:rPr>
        <w:t xml:space="preserve">Complainant/Appellant </w:t>
      </w:r>
    </w:p>
    <w:p w:rsidR="005A5205" w:rsidRPr="008545CE" w:rsidRDefault="005A5205" w:rsidP="005A5205">
      <w:pPr>
        <w:pStyle w:val="NormalWeb"/>
        <w:rPr>
          <w:rFonts w:ascii="Calibri,Italic" w:hAnsi="Calibri,Italic" w:hint="eastAsia"/>
          <w:sz w:val="28"/>
          <w:szCs w:val="28"/>
          <w:shd w:val="clear" w:color="auto" w:fill="000000"/>
        </w:rPr>
      </w:pPr>
      <w:r w:rsidRPr="008545CE">
        <w:rPr>
          <w:rFonts w:ascii="Calibri,Italic" w:hAnsi="Calibri,Italic"/>
          <w:sz w:val="28"/>
          <w:szCs w:val="28"/>
        </w:rPr>
        <w:t>Vs.</w:t>
      </w:r>
      <w:r w:rsidRPr="008545CE">
        <w:rPr>
          <w:rFonts w:ascii="Calibri,Italic" w:hAnsi="Calibri,Italic"/>
          <w:sz w:val="28"/>
          <w:szCs w:val="28"/>
        </w:rPr>
        <w:br/>
      </w:r>
    </w:p>
    <w:p w:rsidR="005A5205" w:rsidRPr="008545CE" w:rsidRDefault="005A5205" w:rsidP="005A5205">
      <w:pPr>
        <w:pStyle w:val="NormalWeb"/>
        <w:rPr>
          <w:rFonts w:ascii="Calibri,Italic" w:hAnsi="Calibri,Italic" w:hint="eastAsia"/>
          <w:sz w:val="28"/>
          <w:szCs w:val="28"/>
          <w:shd w:val="clear" w:color="auto" w:fill="000000"/>
        </w:rPr>
      </w:pPr>
      <w:r w:rsidRPr="008545CE">
        <w:rPr>
          <w:rFonts w:ascii="Calibri,Italic" w:hAnsi="Calibri,Italic"/>
          <w:sz w:val="28"/>
          <w:szCs w:val="28"/>
          <w:shd w:val="clear" w:color="auto" w:fill="000000"/>
        </w:rPr>
        <w:t xml:space="preserve">Mr. Kristopher </w:t>
      </w:r>
      <w:proofErr w:type="spellStart"/>
      <w:r w:rsidRPr="008545CE">
        <w:rPr>
          <w:rFonts w:ascii="Calibri,Italic" w:hAnsi="Calibri,Italic"/>
          <w:sz w:val="28"/>
          <w:szCs w:val="28"/>
          <w:shd w:val="clear" w:color="auto" w:fill="000000"/>
        </w:rPr>
        <w:t>Infante</w:t>
      </w:r>
      <w:proofErr w:type="spellEnd"/>
      <w:r w:rsidRPr="008545CE">
        <w:rPr>
          <w:rFonts w:ascii="Calibri,Italic" w:hAnsi="Calibri,Italic"/>
          <w:sz w:val="28"/>
          <w:szCs w:val="28"/>
          <w:shd w:val="clear" w:color="auto" w:fill="000000"/>
        </w:rPr>
        <w:t xml:space="preserve"> </w:t>
      </w:r>
    </w:p>
    <w:p w:rsidR="005A5205" w:rsidRPr="008545CE" w:rsidRDefault="005A5205" w:rsidP="005A5205">
      <w:pPr>
        <w:pStyle w:val="NormalWeb"/>
        <w:rPr>
          <w:rFonts w:ascii="Calibri,Italic" w:hAnsi="Calibri,Italic" w:hint="eastAsia"/>
          <w:sz w:val="28"/>
          <w:szCs w:val="28"/>
          <w:shd w:val="clear" w:color="auto" w:fill="000000"/>
        </w:rPr>
      </w:pPr>
      <w:r w:rsidRPr="008545CE">
        <w:rPr>
          <w:rFonts w:ascii="Calibri,Italic" w:hAnsi="Calibri,Italic"/>
          <w:sz w:val="28"/>
          <w:szCs w:val="28"/>
        </w:rPr>
        <w:t xml:space="preserve">Respondent </w:t>
      </w:r>
    </w:p>
    <w:p w:rsidR="005A5205" w:rsidRDefault="005A5205" w:rsidP="005A5205">
      <w:pPr>
        <w:pStyle w:val="NormalWeb"/>
        <w:jc w:val="center"/>
        <w:rPr>
          <w:rFonts w:ascii="Times New Roman" w:hAnsi="Times New Roman"/>
          <w:sz w:val="28"/>
          <w:szCs w:val="28"/>
          <w:u w:val="single"/>
        </w:rPr>
      </w:pPr>
      <w:r>
        <w:rPr>
          <w:rFonts w:ascii="Times New Roman" w:hAnsi="Times New Roman"/>
          <w:sz w:val="28"/>
          <w:szCs w:val="28"/>
          <w:u w:val="single"/>
        </w:rPr>
        <w:t>PETITION FOR INJUCTIVE RELIEF</w:t>
      </w:r>
    </w:p>
    <w:p w:rsidR="005A5205" w:rsidRPr="00707AB2" w:rsidRDefault="005A5205" w:rsidP="005A5205">
      <w:pPr>
        <w:pStyle w:val="NormalWeb"/>
        <w:jc w:val="center"/>
        <w:rPr>
          <w:rFonts w:ascii="Times New Roman" w:hAnsi="Times New Roman"/>
          <w:sz w:val="28"/>
          <w:szCs w:val="28"/>
          <w:u w:val="single"/>
        </w:rPr>
      </w:pPr>
      <w:r>
        <w:rPr>
          <w:rFonts w:ascii="Times New Roman" w:hAnsi="Times New Roman"/>
          <w:sz w:val="28"/>
          <w:szCs w:val="28"/>
          <w:u w:val="single"/>
        </w:rPr>
        <w:t>Background</w:t>
      </w:r>
    </w:p>
    <w:p w:rsidR="005A5205" w:rsidRDefault="005A5205" w:rsidP="005A5205">
      <w:pPr>
        <w:pStyle w:val="NormalWeb"/>
        <w:spacing w:line="48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8545CE">
        <w:rPr>
          <w:rFonts w:ascii="Times New Roman" w:hAnsi="Times New Roman"/>
          <w:sz w:val="24"/>
          <w:szCs w:val="24"/>
        </w:rPr>
        <w:t xml:space="preserve">The attached brief is an outline for the Supreme Court’s records in the case of </w:t>
      </w:r>
      <w:proofErr w:type="spellStart"/>
      <w:r w:rsidRPr="008545CE">
        <w:rPr>
          <w:rFonts w:ascii="Times New Roman" w:hAnsi="Times New Roman"/>
          <w:sz w:val="24"/>
          <w:szCs w:val="24"/>
          <w:shd w:val="clear" w:color="auto" w:fill="000000"/>
        </w:rPr>
        <w:t>Willms</w:t>
      </w:r>
      <w:proofErr w:type="spellEnd"/>
      <w:r w:rsidRPr="008545CE">
        <w:rPr>
          <w:rFonts w:ascii="Times New Roman" w:hAnsi="Times New Roman"/>
          <w:sz w:val="24"/>
          <w:szCs w:val="24"/>
          <w:shd w:val="clear" w:color="auto" w:fill="000000"/>
        </w:rPr>
        <w:t xml:space="preserve"> v. </w:t>
      </w:r>
      <w:proofErr w:type="spellStart"/>
      <w:r w:rsidRPr="008545CE">
        <w:rPr>
          <w:rFonts w:ascii="Times New Roman" w:hAnsi="Times New Roman"/>
          <w:sz w:val="24"/>
          <w:szCs w:val="24"/>
          <w:shd w:val="clear" w:color="auto" w:fill="000000"/>
        </w:rPr>
        <w:t>DeSalvo</w:t>
      </w:r>
      <w:proofErr w:type="spellEnd"/>
      <w:r w:rsidRPr="008545CE">
        <w:rPr>
          <w:rFonts w:ascii="Times New Roman" w:hAnsi="Times New Roman"/>
          <w:sz w:val="24"/>
          <w:szCs w:val="24"/>
          <w:shd w:val="clear" w:color="auto" w:fill="000000"/>
        </w:rPr>
        <w:t xml:space="preserve"> </w:t>
      </w:r>
      <w:r w:rsidRPr="008545CE">
        <w:rPr>
          <w:rFonts w:ascii="Times New Roman" w:hAnsi="Times New Roman"/>
          <w:sz w:val="24"/>
          <w:szCs w:val="24"/>
        </w:rPr>
        <w:t xml:space="preserve">concerning a sanction applied by the Election Board on March 26, 2014. An appeal was issued to the Dean of Students concerning the sanction, which was remanded to the Supreme Court per the Memorandum of Understanding between the Election Board and Supreme Court dated October 14, 2013. </w:t>
      </w:r>
    </w:p>
    <w:p w:rsidR="005A5205" w:rsidRDefault="005A5205" w:rsidP="005A5205">
      <w:pPr>
        <w:pStyle w:val="NormalWeb"/>
        <w:spacing w:line="480" w:lineRule="auto"/>
        <w:jc w:val="center"/>
        <w:rPr>
          <w:rFonts w:ascii="Times New Roman" w:hAnsi="Times New Roman"/>
          <w:sz w:val="28"/>
          <w:szCs w:val="28"/>
          <w:u w:val="single"/>
        </w:rPr>
      </w:pPr>
      <w:r>
        <w:rPr>
          <w:rFonts w:ascii="Times New Roman" w:hAnsi="Times New Roman"/>
          <w:sz w:val="28"/>
          <w:szCs w:val="28"/>
          <w:u w:val="single"/>
        </w:rPr>
        <w:t>Standing</w:t>
      </w:r>
    </w:p>
    <w:p w:rsidR="005A5205" w:rsidRDefault="005A5205" w:rsidP="005A5205">
      <w:pPr>
        <w:pStyle w:val="NormalWeb"/>
        <w:spacing w:line="480" w:lineRule="auto"/>
        <w:rPr>
          <w:rFonts w:ascii="Times New Roman" w:hAnsi="Times New Roman"/>
          <w:sz w:val="24"/>
          <w:szCs w:val="24"/>
        </w:rPr>
      </w:pPr>
      <w:r>
        <w:rPr>
          <w:rFonts w:ascii="Times New Roman" w:hAnsi="Times New Roman"/>
          <w:sz w:val="28"/>
          <w:szCs w:val="28"/>
        </w:rPr>
        <w:t>II.</w:t>
      </w:r>
      <w:r>
        <w:rPr>
          <w:rFonts w:ascii="Times New Roman" w:hAnsi="Times New Roman"/>
          <w:sz w:val="28"/>
          <w:szCs w:val="28"/>
        </w:rPr>
        <w:tab/>
      </w:r>
      <w:r w:rsidRPr="008545CE">
        <w:rPr>
          <w:rFonts w:ascii="Times New Roman" w:hAnsi="Times New Roman"/>
          <w:sz w:val="24"/>
          <w:szCs w:val="24"/>
        </w:rPr>
        <w:t xml:space="preserve">The respondent has provided the Supreme Court with all relevant evidence, testimony, and case documents referenced in the appeal before the court. The court has decided to here only the question related to the Election Board’s authority to reclassify violations of the Election Code. </w:t>
      </w:r>
      <w:r>
        <w:rPr>
          <w:rFonts w:ascii="Times New Roman" w:hAnsi="Times New Roman"/>
          <w:sz w:val="24"/>
          <w:szCs w:val="24"/>
        </w:rPr>
        <w:tab/>
      </w:r>
    </w:p>
    <w:p w:rsidR="005A5205" w:rsidRDefault="005A5205" w:rsidP="005A5205">
      <w:pPr>
        <w:pStyle w:val="NormalWeb"/>
        <w:spacing w:line="480" w:lineRule="auto"/>
        <w:jc w:val="center"/>
        <w:rPr>
          <w:rFonts w:ascii="Times New Roman" w:hAnsi="Times New Roman"/>
          <w:sz w:val="24"/>
          <w:szCs w:val="24"/>
          <w:u w:val="single"/>
        </w:rPr>
      </w:pPr>
      <w:r>
        <w:rPr>
          <w:rFonts w:ascii="Times New Roman" w:hAnsi="Times New Roman"/>
          <w:sz w:val="24"/>
          <w:szCs w:val="24"/>
          <w:u w:val="single"/>
        </w:rPr>
        <w:t>Relief Requested</w:t>
      </w:r>
    </w:p>
    <w:p w:rsidR="005A5205" w:rsidRDefault="005A5205" w:rsidP="005A5205">
      <w:pPr>
        <w:pStyle w:val="NormalWeb"/>
        <w:spacing w:line="480" w:lineRule="auto"/>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Why should the court provide you with injunctive relief? You must provide evidence as to why this court should grant relief. </w:t>
      </w:r>
    </w:p>
    <w:p w:rsidR="005A5205" w:rsidRPr="005A5205" w:rsidRDefault="005A5205" w:rsidP="005A5205">
      <w:pPr>
        <w:pStyle w:val="NormalWeb"/>
        <w:spacing w:line="480" w:lineRule="auto"/>
        <w:jc w:val="center"/>
        <w:rPr>
          <w:rFonts w:ascii="Times New Roman" w:hAnsi="Times New Roman"/>
          <w:sz w:val="28"/>
          <w:szCs w:val="28"/>
          <w:u w:val="single"/>
        </w:rPr>
      </w:pPr>
      <w:r>
        <w:rPr>
          <w:rFonts w:ascii="Times New Roman" w:hAnsi="Times New Roman"/>
          <w:sz w:val="24"/>
          <w:szCs w:val="24"/>
          <w:u w:val="single"/>
        </w:rPr>
        <w:t>Oral Argument</w:t>
      </w:r>
    </w:p>
    <w:p w:rsidR="005A5205" w:rsidRDefault="005A5205" w:rsidP="005A5205">
      <w:pPr>
        <w:pStyle w:val="NormalWeb"/>
        <w:spacing w:line="480" w:lineRule="auto"/>
        <w:rPr>
          <w:rFonts w:ascii="Times New Roman" w:hAnsi="Times New Roman"/>
          <w:sz w:val="24"/>
          <w:szCs w:val="24"/>
        </w:rPr>
      </w:pPr>
      <w:r w:rsidRPr="008545CE">
        <w:rPr>
          <w:rFonts w:ascii="Times New Roman" w:hAnsi="Times New Roman"/>
          <w:sz w:val="24"/>
          <w:szCs w:val="24"/>
        </w:rPr>
        <w:t>I am willing and able to answer questions before the Supreme Court should they wish to embrace th</w:t>
      </w:r>
      <w:r>
        <w:rPr>
          <w:rFonts w:ascii="Times New Roman" w:hAnsi="Times New Roman"/>
          <w:sz w:val="24"/>
          <w:szCs w:val="24"/>
        </w:rPr>
        <w:t>e topic of the injunctive relief requested</w:t>
      </w:r>
      <w:r w:rsidRPr="008545CE">
        <w:rPr>
          <w:rFonts w:ascii="Times New Roman" w:hAnsi="Times New Roman"/>
          <w:sz w:val="24"/>
          <w:szCs w:val="24"/>
        </w:rPr>
        <w:t xml:space="preserve">. During testimony I will demonstrate to the court that: </w:t>
      </w:r>
    </w:p>
    <w:p w:rsidR="005A5205" w:rsidRDefault="005A5205" w:rsidP="005A5205">
      <w:pPr>
        <w:pStyle w:val="NormalWeb"/>
        <w:spacing w:line="480" w:lineRule="auto"/>
        <w:ind w:left="1080"/>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p>
    <w:p w:rsidR="005A5205" w:rsidRDefault="005A5205" w:rsidP="005A5205">
      <w:pPr>
        <w:pStyle w:val="NormalWeb"/>
        <w:spacing w:line="480" w:lineRule="auto"/>
        <w:ind w:left="1080"/>
        <w:rPr>
          <w:rFonts w:ascii="Times New Roman" w:hAnsi="Times New Roman"/>
          <w:sz w:val="24"/>
          <w:szCs w:val="24"/>
        </w:rPr>
      </w:pPr>
      <w:r>
        <w:rPr>
          <w:rFonts w:ascii="Times New Roman" w:hAnsi="Times New Roman"/>
          <w:sz w:val="24"/>
          <w:szCs w:val="24"/>
        </w:rPr>
        <w:t>2.</w:t>
      </w:r>
    </w:p>
    <w:p w:rsidR="005A5205" w:rsidRDefault="005A5205" w:rsidP="005A5205">
      <w:pPr>
        <w:pStyle w:val="NormalWeb"/>
        <w:spacing w:line="480" w:lineRule="auto"/>
        <w:ind w:left="1080"/>
        <w:rPr>
          <w:rFonts w:ascii="Times New Roman" w:hAnsi="Times New Roman"/>
          <w:sz w:val="24"/>
          <w:szCs w:val="24"/>
        </w:rPr>
      </w:pPr>
      <w:r>
        <w:rPr>
          <w:rFonts w:ascii="Times New Roman" w:hAnsi="Times New Roman"/>
          <w:sz w:val="24"/>
          <w:szCs w:val="24"/>
        </w:rPr>
        <w:t>3.</w:t>
      </w:r>
    </w:p>
    <w:p w:rsidR="005A5205" w:rsidRDefault="005A5205" w:rsidP="005A5205">
      <w:pPr>
        <w:pStyle w:val="NormalWeb"/>
        <w:spacing w:line="480" w:lineRule="auto"/>
        <w:ind w:left="1080"/>
        <w:rPr>
          <w:rFonts w:ascii="Times New Roman" w:hAnsi="Times New Roman"/>
          <w:sz w:val="24"/>
          <w:szCs w:val="24"/>
        </w:rPr>
      </w:pPr>
    </w:p>
    <w:p w:rsidR="005A5205" w:rsidRPr="008545CE" w:rsidRDefault="005A5205" w:rsidP="005A5205">
      <w:pPr>
        <w:pStyle w:val="NoSpacing"/>
      </w:pPr>
    </w:p>
    <w:p w:rsidR="00CD2A7A" w:rsidRDefault="00CD2A7A" w:rsidP="005A5205"/>
    <w:sectPr w:rsidR="00CD2A7A" w:rsidSect="00B20C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61E"/>
    <w:multiLevelType w:val="hybridMultilevel"/>
    <w:tmpl w:val="9B686A66"/>
    <w:lvl w:ilvl="0" w:tplc="29A02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71FA7"/>
    <w:multiLevelType w:val="multilevel"/>
    <w:tmpl w:val="FD08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B18F3"/>
    <w:multiLevelType w:val="hybridMultilevel"/>
    <w:tmpl w:val="4872BD96"/>
    <w:lvl w:ilvl="0" w:tplc="1CA09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776FD"/>
    <w:multiLevelType w:val="hybridMultilevel"/>
    <w:tmpl w:val="87843F26"/>
    <w:lvl w:ilvl="0" w:tplc="B48A9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52128"/>
    <w:multiLevelType w:val="hybridMultilevel"/>
    <w:tmpl w:val="7CC2C692"/>
    <w:lvl w:ilvl="0" w:tplc="29A02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05"/>
    <w:rsid w:val="00580D60"/>
    <w:rsid w:val="005A5205"/>
    <w:rsid w:val="00B20C0C"/>
    <w:rsid w:val="00CD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29FD90-931E-449D-837D-D9BC103F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205"/>
    <w:pPr>
      <w:spacing w:before="100" w:beforeAutospacing="1" w:after="100" w:afterAutospacing="1"/>
    </w:pPr>
    <w:rPr>
      <w:rFonts w:ascii="Times" w:hAnsi="Times" w:cs="Times New Roman"/>
      <w:sz w:val="20"/>
      <w:szCs w:val="20"/>
    </w:rPr>
  </w:style>
  <w:style w:type="paragraph" w:styleId="NoSpacing">
    <w:name w:val="No Spacing"/>
    <w:uiPriority w:val="1"/>
    <w:qFormat/>
    <w:rsid w:val="005A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Homann, Andrew P</cp:lastModifiedBy>
  <cp:revision>2</cp:revision>
  <dcterms:created xsi:type="dcterms:W3CDTF">2016-10-04T17:11:00Z</dcterms:created>
  <dcterms:modified xsi:type="dcterms:W3CDTF">2016-10-04T17:11:00Z</dcterms:modified>
</cp:coreProperties>
</file>